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vnd.openxmlformats-officedocument.wordprocessingml.footer+xml"/>
  <Default Extension="jpg" ContentType="image/jpeg"/>
  <Override PartName="/word/header2.xml" ContentType="application/vnd.openxmlformats-officedocument.wordprocessingml.header+xml"/>
  <Override PartName="/word/header21.xml" ContentType="application/vnd.openxmlformats-officedocument.wordprocessingml.header+xml"/>
  <Override PartName="/word/header34.xml" ContentType="application/vnd.openxmlformats-officedocument.wordprocessingml.header+xml"/>
  <Override PartName="/word/header4.xml" ContentType="application/vnd.openxmlformats-officedocument.wordprocessingml.header+xml"/>
  <Override PartName="/word/header48.xml" ContentType="application/vnd.openxmlformats-officedocument.wordprocessingml.header+xml"/>
  <Override PartName="/word/document.xml" ContentType="application/vnd.openxmlformats-officedocument.wordprocessingml.document.main+xml"/>
  <Override PartName="/word/header33.xml" ContentType="application/vnd.openxmlformats-officedocument.wordprocessingml.header+xml"/>
  <Override PartName="/word/header47.xml" ContentType="application/vnd.openxmlformats-officedocument.wordprocessingml.header+xml"/>
  <Override PartName="/word/header51.xml" ContentType="application/vnd.openxmlformats-officedocument.wordprocessingml.header+xml"/>
  <Override PartName="/word/header43.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header11.xml" ContentType="application/vnd.openxmlformats-officedocument.wordprocessingml.header+xml"/>
  <Override PartName="/word/header41.xml" ContentType="application/vnd.openxmlformats-officedocument.wordprocessingml.header+xml"/>
  <Override PartName="/word/header52.xml" ContentType="application/vnd.openxmlformats-officedocument.wordprocessingml.header+xml"/>
  <Override PartName="/word/numbering.xml" ContentType="application/vnd.openxmlformats-officedocument.wordprocessingml.numbering+xml"/>
  <Override PartName="/word/header10.xml" ContentType="application/vnd.openxmlformats-officedocument.wordprocessingml.header+xml"/>
  <Override PartName="/word/header35.xml" ContentType="application/vnd.openxmlformats-officedocument.wordprocessingml.header+xml"/>
  <Override PartName="/word/header39.xml" ContentType="application/vnd.openxmlformats-officedocument.wordprocessingml.header+xml"/>
  <Override PartName="/word/header15.xml" ContentType="application/vnd.openxmlformats-officedocument.wordprocessingml.header+xml"/>
  <Override PartName="/word/header25.xml" ContentType="application/vnd.openxmlformats-officedocument.wordprocessingml.header+xml"/>
  <Override PartName="/word/header30.xml" ContentType="application/vnd.openxmlformats-officedocument.wordprocessingml.header+xml"/>
  <Override PartName="/word/header49.xml" ContentType="application/vnd.openxmlformats-officedocument.wordprocessingml.header+xml"/>
  <Override PartName="/word/header54.xml" ContentType="application/vnd.openxmlformats-officedocument.wordprocessingml.header+xml"/>
  <Override PartName="/word/header27.xml" ContentType="application/vnd.openxmlformats-officedocument.wordprocessingml.header+xml"/>
  <Override PartName="/word/header20.xml" ContentType="application/vnd.openxmlformats-officedocument.wordprocessingml.header+xml"/>
  <Override PartName="/word/header23.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14.xml" ContentType="application/vnd.openxmlformats-officedocument.wordprocessingml.header+xml"/>
  <Override PartName="/word/header46.xml" ContentType="application/vnd.openxmlformats-officedocument.wordprocessingml.header+xml"/>
  <Override PartName="/docProps/core.xml" ContentType="application/vnd.openxmlformats-package.core-properties+xml"/>
  <Override PartName="/word/header7.xml" ContentType="application/vnd.openxmlformats-officedocument.wordprocessingml.header+xml"/>
  <Override PartName="/word/styles.xml" ContentType="application/vnd.openxmlformats-officedocument.wordprocessingml.styles+xml"/>
  <Override PartName="/word/header8.xml" ContentType="application/vnd.openxmlformats-officedocument.wordprocessingml.header+xml"/>
  <Override PartName="/word/header1.xml" ContentType="application/vnd.openxmlformats-officedocument.wordprocessingml.header+xml"/>
  <Override PartName="/word/header17.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header24.xml" ContentType="application/vnd.openxmlformats-officedocument.wordprocessingml.header+xml"/>
  <Override PartName="/word/header31.xml" ContentType="application/vnd.openxmlformats-officedocument.wordprocessingml.header+xml"/>
  <Override PartName="/word/header12.xml" ContentType="application/vnd.openxmlformats-officedocument.wordprocessingml.header+xml"/>
  <Override PartName="/word/header28.xml" ContentType="application/vnd.openxmlformats-officedocument.wordprocessingml.header+xml"/>
  <Override PartName="/word/header40.xml" ContentType="application/vnd.openxmlformats-officedocument.wordprocessingml.header+xml"/>
  <Override PartName="/word/header22.xml" ContentType="application/vnd.openxmlformats-officedocument.wordprocessingml.header+xml"/>
  <Override PartName="/word/header3.xml" ContentType="application/vnd.openxmlformats-officedocument.wordprocessingml.header+xml"/>
  <Override PartName="/word/header44.xml" ContentType="application/vnd.openxmlformats-officedocument.wordprocessingml.header+xml"/>
  <Override PartName="/word/header38.xml" ContentType="application/vnd.openxmlformats-officedocument.wordprocessingml.header+xml"/>
  <Override PartName="/word/header16.xml" ContentType="application/vnd.openxmlformats-officedocument.wordprocessingml.header+xml"/>
  <Override PartName="/word/header53.xml" ContentType="application/vnd.openxmlformats-officedocument.wordprocessingml.header+xml"/>
  <Override PartName="/word/header18.xml" ContentType="application/vnd.openxmlformats-officedocument.wordprocessingml.header+xml"/>
  <Override PartName="/word/header32.xml" ContentType="application/vnd.openxmlformats-officedocument.wordprocessingml.header+xml"/>
  <Override PartName="/word/header42.xml" ContentType="application/vnd.openxmlformats-officedocument.wordprocessingml.header+xml"/>
  <Override PartName="/word/header13.xml" ContentType="application/vnd.openxmlformats-officedocument.wordprocessingml.header+xml"/>
  <Override PartName="/word/header50.xml" ContentType="application/vnd.openxmlformats-officedocument.wordprocessingml.header+xml"/>
  <Override PartName="/word/header19.xml" ContentType="application/vnd.openxmlformats-officedocument.wordprocessingml.header+xml"/>
  <Override PartName="/word/header45.xml" ContentType="application/vnd.openxmlformats-officedocument.wordprocessingml.header+xml"/>
  <Override PartName="/word/header26.xml" ContentType="application/vnd.openxmlformats-officedocument.wordprocessingml.header+xml"/>
  <Override PartName="/word/header29.xml" ContentType="application/vnd.openxmlformats-officedocument.wordprocessingml.header+xml"/>
  <Override PartName="/word/header9.xml" ContentType="application/vnd.openxmlformats-officedocument.wordprocessingml.header+xml"/>
  <Override PartName="/customXml/item1.xml" ContentType="application/xml"/>
  <Override PartName="/customXml/itemProps4.xml" ContentType="application/vnd.openxmlformats-officedocument.customXmlProperties+xml"/>
  <Override PartName="/customXml/itemProps3.xml" ContentType="application/vnd.openxmlformats-officedocument.customXmlProperties+xml"/>
  <Override PartName="/customXml/item3.xml" ContentType="application/xml"/>
  <Override PartName="/customXml/itemProps2.xml" ContentType="application/vnd.openxmlformats-officedocument.customXmlProperties+xml"/>
  <Override PartName="/customXml/itemProps1.xml" ContentType="application/vnd.openxmlformats-officedocument.customXmlProperties+xml"/>
  <Override PartName="/customXml/item4.xml" ContentType="application/xml"/>
  <Override PartName="/customXml/item2.xml" ContentType="application/xml"/>
  <Override PartName="/customXml/item5.xml" ContentType="application/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115FDB13" Type="http://schemas.openxmlformats.org/officeDocument/2006/relationships/officeDocument" Target="word/document.xml"/><Relationship Id="R51F506F1" Type="http://schemas.openxmlformats.org/package/2006/relationships/metadata/core-properties" Target="docProps/core.xml"/><Relationship Id="rId1" Type="http://schemas.openxmlformats.org/officeDocument/2006/relationships/custom-properties" Target="docProps/custom.xml"/></Relationships>
</file>

<file path=word/document.xml><?xml version="1.0" encoding="utf-8"?>
<w:document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body>
    <w:p>
      <w:pPr>
        <w:spacing w:before="0" w:after="0" w:line="259" w:lineRule="auto"/>
        <w:ind w:left="-1440" w:right="10469" w:firstLine="0"/>
        <w:jc w:val="left"/>
      </w:pPr>
      <w:r>
        <w:drawing>
          <wp:anchor allowOverlap="0" relativeHeight="0" locked="0" simplePos="0" layoutInCell="1" behindDoc="0">
            <wp:simplePos y="0" x="0"/>
            <wp:positionH relativeFrom="page">
              <wp:posOffset>0</wp:posOffset>
            </wp:positionH>
            <wp:positionV relativeFrom="page">
              <wp:posOffset>1</wp:posOffset>
            </wp:positionV>
            <wp:extent cx="7543800" cy="10692385"/>
            <wp:effectExtent l="0" t="0" r="0" b="0"/>
            <wp:wrapTopAndBottom/>
            <wp:docPr id="161956" name="Picture 161956"/>
            <wp:cNvGraphicFramePr/>
            <a:graphic>
              <a:graphicData uri="http://schemas.openxmlformats.org/drawingml/2006/picture">
                <pic:pic xmlns:pic="http://schemas.openxmlformats.org/drawingml/2006/picture">
                  <pic:nvPicPr>
                    <pic:cNvPr id="161956" name="Picture 161956"/>
                    <pic:cNvPicPr/>
                  </pic:nvPicPr>
                  <pic:blipFill>
                    <a:blip r:embed="rId115"/>
                    <a:stretch>
                      <a:fillRect/>
                    </a:stretch>
                  </pic:blipFill>
                  <pic:spPr>
                    <a:xfrm>
                      <a:off x="0" y="0"/>
                      <a:ext cx="7543800" cy="10692385"/>
                    </a:xfrm>
                    <a:prstGeom prst="rect">
                      <a:avLst/>
                    </a:prstGeom>
                  </pic:spPr>
                </pic:pic>
              </a:graphicData>
            </a:graphic>
          </wp:anchor>
        </w:drawing>
      </w:r>
    </w:p>
    <w:p>
      <w:pPr>
        <w:sectPr>
          <w:headerReference w:type="even" r:id="rId5"/>
          <w:headerReference w:type="default" r:id="rId3"/>
          <w:headerReference w:type="first" r:id="rId1"/>
          <w:footerReference w:type="even" r:id="rId6"/>
          <w:footerReference w:type="default" r:id="rId4"/>
          <w:footerReference w:type="first" r:id="rId2"/>
          <w:pgSz w:w="11909" w:h="16841" w:orient="portrait"/>
          <w:pgMar w:left="1440" w:top="1440" w:right="1440" w:bottom="1440"/>
          <w:cols/>
        </w:sectPr>
      </w:pPr>
    </w:p>
    <w:p>
      <w:pPr>
        <w:spacing w:before="0" w:after="0" w:line="259" w:lineRule="auto"/>
        <w:ind w:left="-1440" w:right="10464" w:firstLine="0"/>
        <w:jc w:val="left"/>
      </w:pPr>
      <w:r>
        <w:drawing>
          <wp:anchor allowOverlap="0" relativeHeight="0" locked="0" simplePos="0" layoutInCell="1" behindDoc="0">
            <wp:simplePos y="0" x="0"/>
            <wp:positionH relativeFrom="page">
              <wp:posOffset>0</wp:posOffset>
            </wp:positionH>
            <wp:positionV relativeFrom="page">
              <wp:posOffset>-2</wp:posOffset>
            </wp:positionV>
            <wp:extent cx="10692383" cy="7559041"/>
            <wp:effectExtent l="0" t="0" r="0" b="0"/>
            <wp:wrapTopAndBottom/>
            <wp:docPr id="11" name="Picture 11"/>
            <wp:cNvGraphicFramePr/>
            <a:graphic>
              <a:graphicData uri="http://schemas.openxmlformats.org/drawingml/2006/picture">
                <pic:pic xmlns:pic="http://schemas.openxmlformats.org/drawingml/2006/picture">
                  <pic:nvPicPr>
                    <pic:cNvPr id="11" name="Picture 11"/>
                    <pic:cNvPicPr/>
                  </pic:nvPicPr>
                  <pic:blipFill>
                    <a:blip r:embed="rId116"/>
                    <a:stretch>
                      <a:fillRect/>
                    </a:stretch>
                  </pic:blipFill>
                  <pic:spPr>
                    <a:xfrm rot="-5399998">
                      <a:off x="0" y="0"/>
                      <a:ext cx="10692383" cy="7559041"/>
                    </a:xfrm>
                    <a:prstGeom prst="rect">
                      <a:avLst/>
                    </a:prstGeom>
                  </pic:spPr>
                </pic:pic>
              </a:graphicData>
            </a:graphic>
          </wp:anchor>
        </w:drawing>
      </w:r>
    </w:p>
    <w:p>
      <w:pPr>
        <w:sectPr>
          <w:headerReference w:type="even" r:id="rId11"/>
          <w:headerReference w:type="default" r:id="rId9"/>
          <w:headerReference w:type="first" r:id="rId7"/>
          <w:footerReference w:type="even" r:id="rId12"/>
          <w:footerReference w:type="default" r:id="rId10"/>
          <w:footerReference w:type="first" r:id="rId8"/>
          <w:pgSz w:w="11904" w:h="16838" w:orient="portrait"/>
          <w:pgMar w:left="1440" w:top="1440" w:right="1440" w:bottom="1440"/>
          <w:cols/>
        </w:sectPr>
      </w:pPr>
    </w:p>
    <w:p>
      <w:pPr>
        <w:spacing w:before="0" w:after="0" w:line="259" w:lineRule="auto"/>
        <w:ind w:left="-1440" w:right="10800" w:firstLine="0"/>
        <w:jc w:val="left"/>
      </w:pPr>
      <w:r>
        <w:drawing>
          <wp:anchor allowOverlap="0" relativeHeight="0" locked="0" simplePos="0" layoutInCell="1" behindDoc="0">
            <wp:simplePos y="0" x="0"/>
            <wp:positionH relativeFrom="page">
              <wp:posOffset>0</wp:posOffset>
            </wp:positionH>
            <wp:positionV relativeFrom="page">
              <wp:posOffset>63500</wp:posOffset>
            </wp:positionV>
            <wp:extent cx="7772400" cy="12688825"/>
            <wp:effectExtent l="0" t="0" r="0" b="0"/>
            <wp:wrapTopAndBottom/>
            <wp:docPr id="161963" name="Picture 161963"/>
            <wp:cNvGraphicFramePr/>
            <a:graphic>
              <a:graphicData uri="http://schemas.openxmlformats.org/drawingml/2006/picture">
                <pic:pic xmlns:pic="http://schemas.openxmlformats.org/drawingml/2006/picture">
                  <pic:nvPicPr>
                    <pic:cNvPr id="161963" name="Picture 161963"/>
                    <pic:cNvPicPr/>
                  </pic:nvPicPr>
                  <pic:blipFill>
                    <a:blip r:embed="rId117"/>
                    <a:stretch>
                      <a:fillRect/>
                    </a:stretch>
                  </pic:blipFill>
                  <pic:spPr>
                    <a:xfrm>
                      <a:off x="0" y="0"/>
                      <a:ext cx="7772400" cy="12688825"/>
                    </a:xfrm>
                    <a:prstGeom prst="rect">
                      <a:avLst/>
                    </a:prstGeom>
                  </pic:spPr>
                </pic:pic>
              </a:graphicData>
            </a:graphic>
          </wp:anchor>
        </w:drawing>
      </w:r>
      <w:r>
        <w:br w:type="page"/>
      </w:r>
    </w:p>
    <w:p>
      <w:pPr>
        <w:spacing w:before="0" w:after="0" w:line="259" w:lineRule="auto"/>
        <w:ind w:left="-1440" w:right="10800" w:firstLine="0"/>
        <w:jc w:val="left"/>
      </w:pPr>
      <w:r>
        <w:drawing>
          <wp:anchor allowOverlap="0" relativeHeight="0" locked="0" simplePos="0" layoutInCell="1" behindDoc="0">
            <wp:simplePos y="0" x="0"/>
            <wp:positionH relativeFrom="page">
              <wp:posOffset>0</wp:posOffset>
            </wp:positionH>
            <wp:positionV relativeFrom="page">
              <wp:posOffset>63500</wp:posOffset>
            </wp:positionV>
            <wp:extent cx="7772400" cy="12688825"/>
            <wp:effectExtent l="0" t="0" r="0" b="0"/>
            <wp:wrapTopAndBottom/>
            <wp:docPr id="161967" name="Picture 161967"/>
            <wp:cNvGraphicFramePr/>
            <a:graphic>
              <a:graphicData uri="http://schemas.openxmlformats.org/drawingml/2006/picture">
                <pic:pic xmlns:pic="http://schemas.openxmlformats.org/drawingml/2006/picture">
                  <pic:nvPicPr>
                    <pic:cNvPr id="161967" name="Picture 161967"/>
                    <pic:cNvPicPr/>
                  </pic:nvPicPr>
                  <pic:blipFill>
                    <a:blip r:embed="rId118"/>
                    <a:stretch>
                      <a:fillRect/>
                    </a:stretch>
                  </pic:blipFill>
                  <pic:spPr>
                    <a:xfrm>
                      <a:off x="0" y="0"/>
                      <a:ext cx="7772400" cy="12688825"/>
                    </a:xfrm>
                    <a:prstGeom prst="rect">
                      <a:avLst/>
                    </a:prstGeom>
                  </pic:spPr>
                </pic:pic>
              </a:graphicData>
            </a:graphic>
          </wp:anchor>
        </w:drawing>
      </w:r>
      <w:r>
        <w:br w:type="page"/>
      </w:r>
    </w:p>
    <w:p>
      <w:pPr>
        <w:spacing w:before="0" w:after="0" w:line="259" w:lineRule="auto"/>
        <w:ind w:left="-1440" w:right="10800" w:firstLine="0"/>
        <w:jc w:val="left"/>
      </w:pPr>
      <w:r>
        <w:drawing>
          <wp:anchor allowOverlap="0" relativeHeight="0" locked="0" simplePos="0" layoutInCell="1" behindDoc="0">
            <wp:simplePos y="0" x="0"/>
            <wp:positionH relativeFrom="page">
              <wp:posOffset>0</wp:posOffset>
            </wp:positionH>
            <wp:positionV relativeFrom="page">
              <wp:posOffset>63500</wp:posOffset>
            </wp:positionV>
            <wp:extent cx="7772400" cy="12688825"/>
            <wp:effectExtent l="0" t="0" r="0" b="0"/>
            <wp:wrapTopAndBottom/>
            <wp:docPr id="161971" name="Picture 161971"/>
            <wp:cNvGraphicFramePr/>
            <a:graphic>
              <a:graphicData uri="http://schemas.openxmlformats.org/drawingml/2006/picture">
                <pic:pic xmlns:pic="http://schemas.openxmlformats.org/drawingml/2006/picture">
                  <pic:nvPicPr>
                    <pic:cNvPr id="161971" name="Picture 161971"/>
                    <pic:cNvPicPr/>
                  </pic:nvPicPr>
                  <pic:blipFill>
                    <a:blip r:embed="rId119"/>
                    <a:stretch>
                      <a:fillRect/>
                    </a:stretch>
                  </pic:blipFill>
                  <pic:spPr>
                    <a:xfrm>
                      <a:off x="0" y="0"/>
                      <a:ext cx="7772400" cy="12688825"/>
                    </a:xfrm>
                    <a:prstGeom prst="rect">
                      <a:avLst/>
                    </a:prstGeom>
                  </pic:spPr>
                </pic:pic>
              </a:graphicData>
            </a:graphic>
          </wp:anchor>
        </w:drawing>
      </w:r>
    </w:p>
    <w:p>
      <w:pPr>
        <w:sectPr>
          <w:headerReference w:type="even" r:id="rId17"/>
          <w:headerReference w:type="default" r:id="rId15"/>
          <w:headerReference w:type="first" r:id="rId13"/>
          <w:footerReference w:type="even" r:id="rId18"/>
          <w:footerReference w:type="default" r:id="rId16"/>
          <w:footerReference w:type="first" r:id="rId14"/>
          <w:pgSz w:w="12240" w:h="20160" w:orient="portrait"/>
          <w:pgMar w:footer="3319" w:left="1440" w:top="1440" w:right="1440" w:bottom="1440"/>
          <w:cols/>
        </w:sectPr>
      </w:pPr>
    </w:p>
    <w:p>
      <w:pPr>
        <w:spacing w:before="0" w:after="51" w:line="259" w:lineRule="auto"/>
        <w:ind w:left="0" w:right="0" w:firstLine="0"/>
        <w:jc w:val="left"/>
      </w:pPr>
      <w:r>
        <w:rPr>
          <w:rFonts w:cs="Cambria" w:hAnsi="Cambria" w:eastAsia="Cambria" w:ascii="Cambria"/>
          <w:sz w:val="144"/>
        </w:rPr>
        <w:t xml:space="preserve"> </w:t>
      </w:r>
    </w:p>
    <w:p>
      <w:pPr>
        <w:spacing w:before="0" w:after="51" w:line="259" w:lineRule="auto"/>
        <w:ind w:left="0" w:right="0" w:firstLine="0"/>
        <w:jc w:val="left"/>
      </w:pPr>
      <w:r>
        <w:rPr>
          <w:rFonts w:cs="Cambria" w:hAnsi="Cambria" w:eastAsia="Cambria" w:ascii="Cambria"/>
          <w:sz w:val="144"/>
        </w:rPr>
        <w:t xml:space="preserve"> </w:t>
      </w:r>
    </w:p>
    <w:p>
      <w:pPr>
        <w:spacing w:before="0" w:after="49" w:line="259" w:lineRule="auto"/>
        <w:ind w:left="0" w:right="0" w:firstLine="0"/>
        <w:jc w:val="left"/>
      </w:pPr>
      <w:r>
        <w:rPr>
          <w:rFonts w:cs="Cambria" w:hAnsi="Cambria" w:eastAsia="Cambria" w:ascii="Cambria"/>
          <w:sz w:val="144"/>
        </w:rPr>
        <w:t xml:space="preserve"> </w:t>
      </w:r>
    </w:p>
    <w:p>
      <w:pPr>
        <w:spacing w:before="0" w:after="0" w:line="259" w:lineRule="auto"/>
        <w:ind w:left="0" w:right="1949" w:firstLine="0"/>
        <w:jc w:val="right"/>
      </w:pPr>
      <w:r>
        <w:rPr>
          <w:rFonts w:cs="Cambria" w:hAnsi="Cambria" w:eastAsia="Cambria" w:ascii="Cambria"/>
          <w:sz w:val="144"/>
        </w:rPr>
        <w:t xml:space="preserve">ANNEX I </w:t>
      </w:r>
    </w:p>
    <w:p>
      <w:pPr>
        <w:spacing w:before="0" w:after="0" w:line="259" w:lineRule="auto"/>
        <w:ind w:left="7459" w:right="0" w:firstLine="0"/>
        <w:jc w:val="right"/>
      </w:pPr>
      <w:r>
        <w:rPr>
          <w:rFonts w:cs="Calibri" w:hAnsi="Calibri" w:eastAsia="Calibri" w:ascii="Calibri"/>
          <w:b w:val="1"/>
          <w:sz w:val="36"/>
        </w:rPr>
        <w:t xml:space="preserve"> </w:t>
      </w:r>
    </w:p>
    <w:p>
      <w:pPr>
        <w:spacing w:before="0" w:after="0" w:line="259" w:lineRule="auto"/>
        <w:ind w:left="0" w:right="0" w:firstLine="0"/>
        <w:jc w:val="right"/>
      </w:pPr>
      <w:r>
        <w:drawing>
          <wp:inline distT="0" distB="0" distL="0" distR="0">
            <wp:extent cx="995045" cy="1901825"/>
            <wp:effectExtent l="0" t="0" r="0" b="0"/>
            <wp:docPr id="33" name="Picture 33"/>
            <wp:cNvGraphicFramePr/>
            <a:graphic>
              <a:graphicData uri="http://schemas.openxmlformats.org/drawingml/2006/picture">
                <pic:pic xmlns:pic="http://schemas.openxmlformats.org/drawingml/2006/picture">
                  <pic:nvPicPr>
                    <pic:cNvPr id="33" name="Picture 33"/>
                    <pic:cNvPicPr/>
                  </pic:nvPicPr>
                  <pic:blipFill>
                    <a:blip r:embed="rId120"/>
                    <a:stretch>
                      <a:fillRect/>
                    </a:stretch>
                  </pic:blipFill>
                  <pic:spPr>
                    <a:xfrm>
                      <a:off x="0" y="0"/>
                      <a:ext cx="995045" cy="1901825"/>
                    </a:xfrm>
                    <a:prstGeom prst="rect">
                      <a:avLst/>
                    </a:prstGeom>
                  </pic:spPr>
                </pic:pic>
              </a:graphicData>
            </a:graphic>
          </wp:inline>
        </w:drawing>
      </w: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10" w:right="82"/>
        <w:jc w:val="center"/>
      </w:pPr>
      <w:r>
        <w:rPr>
          <w:rFonts w:cs="Calibri" w:hAnsi="Calibri" w:eastAsia="Calibri" w:ascii="Calibri"/>
          <w:b w:val="1"/>
          <w:sz w:val="36"/>
        </w:rPr>
        <w:t xml:space="preserve">Project Document</w:t>
      </w: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10" w:right="84"/>
        <w:jc w:val="center"/>
      </w:pPr>
      <w:r>
        <w:rPr>
          <w:rFonts w:cs="Calibri" w:hAnsi="Calibri" w:eastAsia="Calibri" w:ascii="Calibri"/>
          <w:b w:val="1"/>
          <w:sz w:val="36"/>
        </w:rPr>
        <w:t xml:space="preserve">Democratic Empowerment Project (DEP)</w:t>
      </w:r>
      <w:r>
        <w:rPr>
          <w:rFonts w:cs="Calibri" w:hAnsi="Calibri" w:eastAsia="Calibri" w:ascii="Calibri"/>
          <w:b w:val="1"/>
          <w:sz w:val="36"/>
        </w:rPr>
        <w:t xml:space="preserve"> </w:t>
      </w:r>
    </w:p>
    <w:p>
      <w:pPr>
        <w:spacing w:before="0" w:after="115" w:line="259" w:lineRule="auto"/>
        <w:ind w:left="0" w:right="34" w:firstLine="0"/>
        <w:jc w:val="center"/>
      </w:pPr>
      <w:r>
        <w:rPr>
          <w:rFonts w:cs="Calibri" w:hAnsi="Calibri" w:eastAsia="Calibri" w:ascii="Calibri"/>
          <w:b w:val="1"/>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0" w:right="2" w:firstLine="0"/>
        <w:jc w:val="center"/>
      </w:pPr>
      <w:r>
        <w:rPr>
          <w:rFonts w:cs="Calibri" w:hAnsi="Calibri" w:eastAsia="Calibri" w:ascii="Calibri"/>
          <w:b w:val="1"/>
          <w:sz w:val="36"/>
        </w:rPr>
        <w:t xml:space="preserve"> </w:t>
      </w:r>
    </w:p>
    <w:p>
      <w:pPr>
        <w:spacing w:before="0" w:after="0" w:line="259" w:lineRule="auto"/>
        <w:ind w:left="10" w:right="80"/>
        <w:jc w:val="center"/>
      </w:pPr>
      <w:r>
        <w:rPr>
          <w:rFonts w:cs="Calibri" w:hAnsi="Calibri" w:eastAsia="Calibri" w:ascii="Calibri"/>
          <w:b w:val="1"/>
          <w:sz w:val="36"/>
        </w:rPr>
        <w:t xml:space="preserve">(January 2013 </w:t>
      </w:r>
      <w:r>
        <w:rPr>
          <w:rFonts w:cs="Calibri" w:hAnsi="Calibri" w:eastAsia="Calibri" w:ascii="Calibri"/>
          <w:b w:val="1"/>
          <w:sz w:val="36"/>
        </w:rPr>
        <w:t xml:space="preserve">- </w:t>
      </w:r>
      <w:r>
        <w:rPr>
          <w:rFonts w:cs="Calibri" w:hAnsi="Calibri" w:eastAsia="Calibri" w:ascii="Calibri"/>
          <w:b w:val="1"/>
          <w:sz w:val="36"/>
        </w:rPr>
        <w:t xml:space="preserve">June 2016)</w:t>
      </w:r>
      <w:r>
        <w:rPr>
          <w:rFonts w:cs="Calibri" w:hAnsi="Calibri" w:eastAsia="Calibri" w:ascii="Calibri"/>
          <w:b w:val="1"/>
          <w:sz w:val="36"/>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41" w:line="259" w:lineRule="auto"/>
        <w:ind w:left="-28" w:right="0" w:firstLine="0"/>
        <w:jc w:val="left"/>
      </w:pPr>
      <w:r>
        <w:rPr>
          <w:rFonts w:cs="Calibri" w:hAnsi="Calibri" w:eastAsia="Calibri" w:ascii="Calibri"/>
          <w:sz w:val="22"/>
        </w:rPr>
        <w:drawing>
          <wp:inline distT="0" distB="0" distL="0" distR="0">
            <wp:extent cx="5769229" cy="18288"/>
            <wp:docPr id="109458" name="Group 109458"/>
            <wp:cNvGraphicFramePr/>
            <a:graphic>
              <a:graphicData uri="http://schemas.microsoft.com/office/word/2010/wordprocessingGroup">
                <wpg:wgp>
                  <wpg:cNvGrpSpPr/>
                  <wpg:grpSpPr>
                    <a:xfrm>
                      <a:off x="0" y="0"/>
                      <a:ext cx="5769229" cy="18288"/>
                      <a:chOff x="0" y="0"/>
                      <a:chExt cx="5769229" cy="18288"/>
                    </a:xfrm>
                  </wpg:grpSpPr>
                  <wps:wsp>
                    <wps:cNvPr id="172384" name="Shape 172384"/>
                    <wps:cNvSpPr/>
                    <wps:spPr>
                      <a:xfrm>
                        <a:off x="0" y="0"/>
                        <a:ext cx="5769229" cy="18288"/>
                      </a:xfrm>
                      <a:custGeom>
                        <a:pathLst>
                          <a:path w="5769229" h="18288">
                            <a:moveTo>
                              <a:pt x="0" y="0"/>
                            </a:moveTo>
                            <a:lnTo>
                              <a:pt x="5769229" y="0"/>
                            </a:lnTo>
                            <a:lnTo>
                              <a:pt x="5769229" y="18288"/>
                            </a:lnTo>
                            <a:lnTo>
                              <a:pt x="0" y="18288"/>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tabs>
          <w:tab w:val="center" w:pos="2814"/>
          <w:tab w:val="center" w:pos="7093"/>
          <w:tab w:val="center" w:pos="8793"/>
        </w:tabs>
        <w:spacing w:before="0" w:after="0" w:line="259" w:lineRule="auto"/>
        <w:ind w:left="0" w:right="0" w:firstLine="0"/>
        <w:jc w:val="left"/>
      </w:pPr>
      <w:r>
        <w:rPr>
          <w:rFonts w:cs="Calibri" w:hAnsi="Calibri" w:eastAsia="Calibri" w:ascii="Calibri"/>
          <w:sz w:val="22"/>
        </w:rPr>
        <w:t xml:space="preserve">	</w:t>
      </w:r>
      <w:r>
        <w:drawing>
          <wp:inline distT="0" distB="0" distL="0" distR="0">
            <wp:extent cx="1025525" cy="1037590"/>
            <wp:effectExtent l="0" t="0" r="0" b="0"/>
            <wp:docPr id="58" name="Picture 58"/>
            <wp:cNvGraphicFramePr/>
            <a:graphic>
              <a:graphicData uri="http://schemas.openxmlformats.org/drawingml/2006/picture">
                <pic:pic xmlns:pic="http://schemas.openxmlformats.org/drawingml/2006/picture">
                  <pic:nvPicPr>
                    <pic:cNvPr id="58" name="Picture 58"/>
                    <pic:cNvPicPr/>
                  </pic:nvPicPr>
                  <pic:blipFill>
                    <a:blip r:embed="rId121"/>
                    <a:stretch>
                      <a:fillRect/>
                    </a:stretch>
                  </pic:blipFill>
                  <pic:spPr>
                    <a:xfrm>
                      <a:off x="0" y="0"/>
                      <a:ext cx="1025525" cy="1037590"/>
                    </a:xfrm>
                    <a:prstGeom prst="rect">
                      <a:avLst/>
                    </a:prstGeom>
                  </pic:spPr>
                </pic:pic>
              </a:graphicData>
            </a:graphic>
          </wp:inline>
        </w:drawing>
      </w:r>
      <w:r>
        <w:rPr>
          <w:rFonts w:cs="Calibri" w:hAnsi="Calibri" w:eastAsia="Calibri" w:ascii="Calibri"/>
          <w:b w:val="1"/>
        </w:rPr>
        <w:t xml:space="preserve">                                       </w:t>
      </w:r>
      <w:r>
        <w:drawing>
          <wp:inline distT="0" distB="0" distL="0" distR="0">
            <wp:extent cx="1017905" cy="1038860"/>
            <wp:effectExtent l="0" t="0" r="0" b="0"/>
            <wp:docPr id="67" name="Picture 67"/>
            <wp:cNvGraphicFramePr/>
            <a:graphic>
              <a:graphicData uri="http://schemas.openxmlformats.org/drawingml/2006/picture">
                <pic:pic xmlns:pic="http://schemas.openxmlformats.org/drawingml/2006/picture">
                  <pic:nvPicPr>
                    <pic:cNvPr id="67" name="Picture 67"/>
                    <pic:cNvPicPr/>
                  </pic:nvPicPr>
                  <pic:blipFill>
                    <a:blip r:embed="rId122"/>
                    <a:stretch>
                      <a:fillRect/>
                    </a:stretch>
                  </pic:blipFill>
                  <pic:spPr>
                    <a:xfrm>
                      <a:off x="0" y="0"/>
                      <a:ext cx="1017905" cy="1038860"/>
                    </a:xfrm>
                    <a:prstGeom prst="rect">
                      <a:avLst/>
                    </a:prstGeom>
                  </pic:spPr>
                </pic:pic>
              </a:graphicData>
            </a:graphic>
          </wp:inline>
        </w:drawing>
      </w:r>
      <w:r>
        <w:rPr>
          <w:rFonts w:cs="Calibri" w:hAnsi="Calibri" w:eastAsia="Calibri" w:ascii="Calibri"/>
          <w:b w:val="1"/>
        </w:rPr>
        <w:t xml:space="preserve">	</w:t>
      </w:r>
      <w:r>
        <w:rPr>
          <w:rFonts w:cs="Arial" w:hAnsi="Arial" w:eastAsia="Arial" w:ascii="Arial"/>
          <w:b w:val="1"/>
        </w:rPr>
        <w:t xml:space="preserve"> </w:t>
      </w:r>
      <w:r>
        <w:rPr>
          <w:rFonts w:cs="Calibri" w:hAnsi="Calibri" w:eastAsia="Calibri" w:ascii="Calibri"/>
          <w:b w:val="1"/>
        </w:rPr>
        <w:t xml:space="preserve">                              </w:t>
      </w:r>
      <w:r>
        <w:drawing>
          <wp:inline distT="0" distB="0" distL="0" distR="0">
            <wp:extent cx="1171575" cy="1003935"/>
            <wp:effectExtent l="0" t="0" r="0" b="0"/>
            <wp:docPr id="76" name="Picture 76"/>
            <wp:cNvGraphicFramePr/>
            <a:graphic>
              <a:graphicData uri="http://schemas.openxmlformats.org/drawingml/2006/picture">
                <pic:pic xmlns:pic="http://schemas.openxmlformats.org/drawingml/2006/picture">
                  <pic:nvPicPr>
                    <pic:cNvPr id="76" name="Picture 76"/>
                    <pic:cNvPicPr/>
                  </pic:nvPicPr>
                  <pic:blipFill>
                    <a:blip r:embed="rId123"/>
                    <a:stretch>
                      <a:fillRect/>
                    </a:stretch>
                  </pic:blipFill>
                  <pic:spPr>
                    <a:xfrm>
                      <a:off x="0" y="0"/>
                      <a:ext cx="1171575" cy="1003935"/>
                    </a:xfrm>
                    <a:prstGeom prst="rect">
                      <a:avLst/>
                    </a:prstGeom>
                  </pic:spPr>
                </pic:pic>
              </a:graphicData>
            </a:graphic>
          </wp:inline>
        </w:drawing>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32" w:firstLine="0"/>
        <w:jc w:val="center"/>
      </w:pPr>
      <w:r>
        <w:drawing>
          <wp:inline distT="0" distB="0" distL="0" distR="0">
            <wp:extent cx="2860675" cy="949325"/>
            <wp:effectExtent l="0" t="0" r="0" b="0"/>
            <wp:docPr id="84" name="Picture 84"/>
            <wp:cNvGraphicFramePr/>
            <a:graphic>
              <a:graphicData uri="http://schemas.openxmlformats.org/drawingml/2006/picture">
                <pic:pic xmlns:pic="http://schemas.openxmlformats.org/drawingml/2006/picture">
                  <pic:nvPicPr>
                    <pic:cNvPr id="84" name="Picture 84"/>
                    <pic:cNvPicPr/>
                  </pic:nvPicPr>
                  <pic:blipFill>
                    <a:blip r:embed="rId124"/>
                    <a:stretch>
                      <a:fillRect/>
                    </a:stretch>
                  </pic:blipFill>
                  <pic:spPr>
                    <a:xfrm>
                      <a:off x="0" y="0"/>
                      <a:ext cx="2860675" cy="949325"/>
                    </a:xfrm>
                    <a:prstGeom prst="rect">
                      <a:avLst/>
                    </a:prstGeom>
                  </pic:spPr>
                </pic:pic>
              </a:graphicData>
            </a:graphic>
          </wp:inline>
        </w:drawing>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10" w:right="79"/>
        <w:jc w:val="center"/>
      </w:pPr>
      <w:r>
        <w:rPr>
          <w:rFonts w:cs="Calibri" w:hAnsi="Calibri" w:eastAsia="Calibri" w:ascii="Calibri"/>
          <w:b w:val="1"/>
          <w:sz w:val="24"/>
          <w:u w:val="single" w:color="000000"/>
        </w:rPr>
        <w:t xml:space="preserve">Democratic Empowerment Project (DEP) for Tanzania</w:t>
      </w:r>
      <w:r>
        <w:rPr>
          <w:rFonts w:cs="Calibri" w:hAnsi="Calibri" w:eastAsia="Calibri" w:ascii="Calibri"/>
          <w:b w:val="1"/>
          <w:sz w:val="24"/>
        </w:rPr>
        <w:t xml:space="preserve"> </w:t>
      </w:r>
    </w:p>
    <w:p>
      <w:pPr>
        <w:spacing w:before="0" w:after="0" w:line="259" w:lineRule="auto"/>
        <w:ind w:left="0" w:right="30" w:firstLine="0"/>
        <w:jc w:val="center"/>
      </w:pPr>
      <w:r>
        <w:rPr>
          <w:sz w:val="24"/>
        </w:rPr>
        <w:t xml:space="preserve"> </w:t>
      </w:r>
    </w:p>
    <w:p>
      <w:pPr>
        <w:spacing w:before="0" w:after="0" w:line="259" w:lineRule="auto"/>
        <w:ind w:left="10" w:right="84"/>
        <w:jc w:val="center"/>
      </w:pPr>
      <w:r>
        <w:rPr>
          <w:rFonts w:cs="Calibri" w:hAnsi="Calibri" w:eastAsia="Calibri" w:ascii="Calibri"/>
          <w:b w:val="1"/>
          <w:sz w:val="24"/>
          <w:u w:val="single" w:color="000000"/>
        </w:rPr>
        <w:t xml:space="preserve">Project Brief</w:t>
      </w:r>
      <w:r>
        <w:rPr>
          <w:rFonts w:cs="Calibri" w:hAnsi="Calibri" w:eastAsia="Calibri" w:ascii="Calibri"/>
          <w:b w:val="1"/>
          <w:sz w:val="24"/>
        </w:rPr>
        <w:t xml:space="preserve"> </w:t>
      </w:r>
    </w:p>
    <w:p>
      <w:pPr>
        <w:spacing w:before="0" w:after="200" w:line="259" w:lineRule="auto"/>
        <w:ind w:left="0" w:right="30" w:firstLine="0"/>
        <w:jc w:val="center"/>
      </w:pPr>
      <w:r>
        <w:rPr>
          <w:sz w:val="24"/>
        </w:rPr>
        <w:t xml:space="preserve"> </w:t>
      </w:r>
    </w:p>
    <w:p>
      <w:pPr>
        <w:pStyle w:val="normal"/>
        <w:spacing w:before="0" w:after="222" w:line="248" w:lineRule="auto"/>
        <w:ind w:left="-5"/>
      </w:pPr>
      <w:r>
        <w:rPr/>
        <w:t xml:space="preserve">Tanzania has made great strides in terms of socio</w:t>
      </w:r>
      <w:r>
        <w:rPr/>
        <w:t xml:space="preserve">-</w:t>
      </w:r>
      <w:r>
        <w:rPr/>
        <w:t xml:space="preserve">economic progress and political stability since the country’s return to multiparty</w:t>
      </w:r>
      <w:r>
        <w:rPr/>
        <w:t xml:space="preserve"> </w:t>
      </w:r>
      <w:r>
        <w:rPr/>
        <w:t xml:space="preserve">democracy in 1992.  The country has held four rounds of successive elections which have been considered well conducted, competitive and open. However, in Zanzibar there is a history of election related violence among the supporters of the two main parties</w:t>
      </w:r>
      <w:r>
        <w:rPr/>
        <w:t xml:space="preserve">, </w:t>
      </w:r>
      <w:r>
        <w:rPr/>
        <w:t xml:space="preserve">Chama Cha Mapinduzi (CCM</w:t>
      </w:r>
      <w:r>
        <w:rPr/>
        <w:t xml:space="preserve">) </w:t>
      </w:r>
      <w:r>
        <w:rPr/>
        <w:t xml:space="preserve">and Civic United Front (CUF</w:t>
      </w:r>
      <w:r>
        <w:rPr/>
        <w:t xml:space="preserve">)</w:t>
      </w:r>
      <w:r>
        <w:rPr/>
        <w:t xml:space="preserve">.  The two parties formed a unity government in Zanzibar following the 2010 general elections in an effort to end the history of post</w:t>
      </w:r>
      <w:r>
        <w:rPr/>
        <w:t xml:space="preserve">-</w:t>
      </w:r>
      <w:r>
        <w:rPr/>
        <w:t xml:space="preserve">election violence on the islands. This has contributed to increased public confidence that future elections in Zanzibar, just like in Mainland, will be peaceful.  Initiated by the Union President, His Excellency Jakaya M. Kikwete, the country is undertaking a constitutional reform process in 2011</w:t>
      </w:r>
      <w:r>
        <w:rPr/>
        <w:t xml:space="preserve">- </w:t>
      </w:r>
      <w:r>
        <w:rPr/>
        <w:t xml:space="preserve">2014 which may lead to comprehensive legal and institutional reform.  This reform could include changes to the electoral management bodies (EMBs) in order to enhance their independence and credibility. One goal of such reforms is to address voter impediments to women, youth and people with disabilities and increase the integrity and fairness of the electoral process in the country.</w:t>
      </w:r>
      <w:r>
        <w:rPr/>
        <w:t xml:space="preserve"> </w:t>
      </w:r>
    </w:p>
    <w:p>
      <w:pPr>
        <w:pStyle w:val="normal"/>
        <w:spacing w:before="0" w:after="225" w:line="248" w:lineRule="auto"/>
        <w:ind w:left="-5" w:right="80"/>
      </w:pPr>
      <w:r>
        <w:rPr/>
        <w:t xml:space="preserve">In November 2012, the UN deployed an electoral needs assessment mission (NAM) to Tanzania following a request by the National Electoral Commission (NEC</w:t>
      </w:r>
      <w:r>
        <w:rPr/>
        <w:t xml:space="preserve">) </w:t>
      </w:r>
      <w:r>
        <w:rPr/>
        <w:t xml:space="preserve">and the Zanzibar Electoral Commission (ZEC</w:t>
      </w:r>
      <w:r>
        <w:rPr/>
        <w:t xml:space="preserve">) </w:t>
      </w:r>
      <w:r>
        <w:rPr/>
        <w:t xml:space="preserve">to UNDP for UN electoral assistance. The ongoing constitutional reform process and the request by the EMBs for assistance towards the electoral process(i.e. the 2014 referenda and the 2015 general elections) presents an ideal opportunity for continued UN and donor engagement to support Tanzania’s democratic consolidation. The NAM recommendations have been included in the design of the project, along with various recommendations from national and international 2010 election observer missions and a more recent 2012 DFID/EU election assessment mission.  </w:t>
      </w:r>
      <w:r>
        <w:rPr/>
        <w:t xml:space="preserve"> </w:t>
      </w:r>
    </w:p>
    <w:p>
      <w:pPr>
        <w:pStyle w:val="normal"/>
        <w:spacing w:before="0" w:after="3" w:line="248" w:lineRule="auto"/>
        <w:ind w:left="-5" w:right="79"/>
      </w:pPr>
      <w:r>
        <w:rPr/>
        <w:t xml:space="preserve">The Democratic Empowerment Project (DEP</w:t>
      </w:r>
      <w:r>
        <w:rPr/>
        <w:t xml:space="preserve">) </w:t>
      </w:r>
      <w:r>
        <w:rPr/>
        <w:t xml:space="preserve">is a three</w:t>
      </w:r>
      <w:r>
        <w:rPr/>
        <w:t xml:space="preserve">-</w:t>
      </w:r>
      <w:r>
        <w:rPr/>
        <w:t xml:space="preserve">year (2013</w:t>
      </w:r>
      <w:r>
        <w:rPr/>
        <w:t xml:space="preserve">-</w:t>
      </w:r>
      <w:r>
        <w:rPr/>
        <w:t xml:space="preserve">2016) UNDP, One UN and other donor</w:t>
      </w:r>
      <w:r>
        <w:rPr/>
        <w:t xml:space="preserve">-</w:t>
      </w:r>
      <w:r>
        <w:rPr/>
        <w:t xml:space="preserve">funded project with the overall aim of contributing to Tanzania’s</w:t>
      </w:r>
      <w:r>
        <w:rPr/>
        <w:t xml:space="preserve"> </w:t>
      </w:r>
      <w:r>
        <w:rPr/>
        <w:t xml:space="preserve">UNDAP’s Outcome 7: i.e. “key institutions (of democracy, i.e. EMBs, etc.) effectively implement their election and political functions”.   Agreed by government in the framework of  UNDAP and informed by recent reports and studies  and the  independent Electoral Support Project (ESP</w:t>
      </w:r>
      <w:r>
        <w:rPr/>
        <w:t xml:space="preserve">) </w:t>
      </w:r>
      <w:r>
        <w:rPr/>
        <w:t xml:space="preserve">2010 project evaluation, the DEP seeks to contribute to four outputs: 1) Capacity of the key democratic institutions (EMBs, Constitutional Review Commission </w:t>
      </w:r>
      <w:r>
        <w:rPr/>
        <w:t xml:space="preserve">– </w:t>
      </w:r>
      <w:r>
        <w:rPr/>
        <w:t xml:space="preserve">CRC, and Registrar of Political Parties </w:t>
      </w:r>
      <w:r>
        <w:rPr/>
        <w:t xml:space="preserve">- </w:t>
      </w:r>
      <w:r>
        <w:rPr/>
        <w:t xml:space="preserve">RPP) enhanced to support and promote legal and institutional reform in the context of the on</w:t>
      </w:r>
      <w:r>
        <w:rPr/>
        <w:t xml:space="preserve">-</w:t>
      </w:r>
      <w:r>
        <w:rPr/>
        <w:t xml:space="preserve">going constitutional reform process and beyond; 2) capacity of the EMBs to conduct credible elections enhanced through strategic, technical and operational support and improved EMB engagement with stakeholders (i.e. political parties, CSOs)  to foster a democratic environment; 3) inclusive participation in elections and politics enhanced through the empowerment of women, youth and PWDs; and 4) national peace infrastructure enhanced to mitigate and  prevent election</w:t>
      </w:r>
      <w:r>
        <w:rPr/>
        <w:t xml:space="preserve">-</w:t>
      </w:r>
      <w:r>
        <w:rPr/>
        <w:t xml:space="preserve">related conflicts including conflict related sexual violence targeting women and girls. A gender equality perspective will be mainstreamed into all project components. The project will build on well</w:t>
      </w:r>
      <w:r>
        <w:rPr/>
        <w:t xml:space="preserve">-</w:t>
      </w:r>
      <w:r>
        <w:rPr/>
        <w:t xml:space="preserve">established existing UNDP and UN</w:t>
      </w:r>
      <w:r>
        <w:rPr/>
        <w:t xml:space="preserve"> </w:t>
      </w:r>
      <w:r>
        <w:rPr/>
        <w:t xml:space="preserve">partnerships with the EMBs, Police, Judiciary, Registrar of Political Parties, Civil Society and the </w:t>
      </w:r>
    </w:p>
    <w:p>
      <w:pPr>
        <w:sectPr>
          <w:headerReference w:type="even" r:id="rId23"/>
          <w:headerReference w:type="default" r:id="rId21"/>
          <w:headerReference w:type="first" r:id="rId19"/>
          <w:footerReference w:type="even" r:id="rId24"/>
          <w:footerReference w:type="default" r:id="rId22"/>
          <w:footerReference w:type="first" r:id="rId20"/>
          <w:pgSz w:w="11906" w:h="16838" w:orient="portrait"/>
          <w:pgMar w:left="1440" w:top="1481" w:right="1357" w:bottom="1618"/>
          <w:pgNumType w:start="0" w:fmt="decimal"/>
          <w:cols/>
          <w:titlePg/>
        </w:sectPr>
      </w:pPr>
    </w:p>
    <w:p>
      <w:pPr>
        <w:pStyle w:val="normal"/>
        <w:spacing w:before="0" w:after="222" w:line="248" w:lineRule="auto"/>
        <w:ind w:left="-5" w:right="754"/>
      </w:pPr>
      <w:r>
        <w:rPr/>
        <w:t xml:space="preserve">Media in an effort to enhance their capacity to contribute to credible elections. Unlike its predecessor ESP 2010, the new project will support Political Parties, Civil Society, and the Media in terms of their interface with the electoral process, such as strengthening political party efforts to promote inclusive participation for women, youth and PWDs, within political party structures and also their nomination to elective public offices; Civil Society to undertake joint voter education and conflict management programmes with the EMBs; and Media support to collaborate with the EMBs on voter education and peace building, and gender sensitive media coverage. </w:t>
      </w:r>
      <w:r>
        <w:rPr/>
        <w:t xml:space="preserve"> </w:t>
      </w:r>
    </w:p>
    <w:p>
      <w:pPr>
        <w:pStyle w:val="normal"/>
        <w:spacing w:before="0" w:after="28" w:line="248" w:lineRule="auto"/>
        <w:ind w:left="-5" w:right="754"/>
      </w:pPr>
      <w:r>
        <w:rPr/>
        <w:t xml:space="preserve">The Direct Implementation Modality will be used to effectively work with the multiple partners funding the project and to ensure timely delivery of activities. To date, the following development partners have committed themselves to support the project either through the One Fund (Norway, Sweden, others) and/or through a UNDP coordinated Joint Donor Basket Fund (JDBF):</w:t>
      </w:r>
      <w:r>
        <w:rPr>
          <w:rFonts w:cs="Calibri" w:hAnsi="Calibri" w:eastAsia="Calibri" w:ascii="Calibri"/>
          <w:i w:val="1"/>
        </w:rPr>
        <w:t xml:space="preserve"> </w:t>
      </w:r>
      <w:r>
        <w:rPr/>
        <w:t xml:space="preserve">Canada</w:t>
      </w:r>
      <w:r>
        <w:rPr>
          <w:rFonts w:cs="Calibri" w:hAnsi="Calibri" w:eastAsia="Calibri" w:ascii="Calibri"/>
          <w:i w:val="1"/>
        </w:rPr>
        <w:t xml:space="preserve"> </w:t>
      </w:r>
      <w:r>
        <w:rPr/>
        <w:t xml:space="preserve">(CIDA</w:t>
      </w:r>
      <w:r>
        <w:rPr/>
        <w:t xml:space="preserve">)</w:t>
      </w:r>
      <w:r>
        <w:rPr>
          <w:rFonts w:cs="Calibri" w:hAnsi="Calibri" w:eastAsia="Calibri" w:ascii="Calibri"/>
          <w:i w:val="1"/>
        </w:rPr>
        <w:t xml:space="preserve">,</w:t>
      </w:r>
      <w:r>
        <w:rPr/>
        <w:t xml:space="preserve"> </w:t>
      </w:r>
      <w:r>
        <w:rPr/>
        <w:t xml:space="preserve">EU, UK (DFID</w:t>
      </w:r>
      <w:r>
        <w:rPr/>
        <w:t xml:space="preserve">)</w:t>
      </w:r>
      <w:r>
        <w:rPr/>
        <w:t xml:space="preserve">, and Denmark, and Switzerland.</w:t>
      </w:r>
      <w:r>
        <w:rPr>
          <w:rFonts w:cs="Calibri" w:hAnsi="Calibri" w:eastAsia="Calibri" w:ascii="Calibri"/>
          <w:i w:val="1"/>
        </w:rPr>
        <w:t xml:space="preserve"> </w:t>
      </w:r>
      <w:r>
        <w:rPr/>
        <w:t xml:space="preserve">Oversight of the project will be through a</w:t>
      </w:r>
      <w:r>
        <w:rPr>
          <w:rFonts w:cs="Calibri" w:hAnsi="Calibri" w:eastAsia="Calibri" w:ascii="Calibri"/>
          <w:i w:val="1"/>
        </w:rPr>
        <w:t xml:space="preserve"> </w:t>
      </w:r>
      <w:r>
        <w:rPr/>
        <w:t xml:space="preserve">high level Steering Committee and two Technical Committees (Union and Zanzibar) on which the participating DPs and national stakeholders will be represented.  The project will be managed by UNDP using a DIM project management team. The project will establish mechanisms for regular information sharing with development partners (DPs</w:t>
      </w:r>
      <w:r>
        <w:rPr/>
        <w:t xml:space="preserve">) </w:t>
      </w:r>
      <w:r>
        <w:rPr/>
        <w:t xml:space="preserve">and other national stakeholders who are not part of the project in order to avoid duplication of efforts.  The project budget is estimated at US$ </w:t>
      </w:r>
    </w:p>
    <w:p>
      <w:pPr>
        <w:pStyle w:val="normal"/>
        <w:spacing w:before="0" w:after="225" w:line="248" w:lineRule="auto"/>
        <w:ind w:left="-5" w:right="754"/>
      </w:pPr>
      <w:r>
        <w:rPr/>
        <w:t xml:space="preserve">22.5</w:t>
      </w:r>
      <w:r>
        <w:rPr/>
        <w:t xml:space="preserve"> </w:t>
      </w:r>
      <w:r>
        <w:rPr/>
        <w:t xml:space="preserve">million.</w:t>
      </w:r>
      <w:r>
        <w:rPr/>
        <w:t xml:space="preserve"> </w:t>
      </w:r>
    </w:p>
    <w:p>
      <w:pPr>
        <w:spacing w:before="0" w:after="0" w:line="259" w:lineRule="auto"/>
        <w:ind w:left="0"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0" w:line="259" w:lineRule="auto"/>
        <w:ind w:left="3601" w:right="0" w:firstLine="0"/>
        <w:jc w:val="left"/>
      </w:pPr>
      <w:r>
        <w:rPr/>
        <w:t xml:space="preserve"> </w:t>
      </w:r>
    </w:p>
    <w:p>
      <w:pPr>
        <w:spacing w:before="0" w:after="256" w:line="259" w:lineRule="auto"/>
        <w:ind w:left="0" w:right="0" w:firstLine="0"/>
        <w:jc w:val="left"/>
      </w:pPr>
      <w:r>
        <w:rPr>
          <w:rFonts w:cs="Calibri" w:hAnsi="Calibri" w:eastAsia="Calibri" w:ascii="Calibri"/>
          <w:b w:val="1"/>
          <w:sz w:val="20"/>
        </w:rPr>
        <w:t xml:space="preserve"> 	 	 </w:t>
      </w:r>
    </w:p>
    <w:p>
      <w:pPr>
        <w:tabs>
          <w:tab w:val="center" w:pos="5682"/>
        </w:tabs>
        <w:spacing w:before="0" w:after="0" w:line="265" w:lineRule="auto"/>
        <w:ind w:left="0" w:right="0" w:firstLine="0"/>
        <w:jc w:val="left"/>
      </w:pPr>
      <w:r>
        <w:rPr>
          <w:rFonts w:cs="Calibri" w:hAnsi="Calibri" w:eastAsia="Calibri" w:ascii="Calibri"/>
          <w:b w:val="1"/>
          <w:sz w:val="31"/>
          <w:vertAlign w:val="superscript"/>
        </w:rPr>
        <w:t xml:space="preserve">Project Title:</w:t>
      </w:r>
      <w:r>
        <w:rPr>
          <w:rFonts w:cs="Calibri" w:hAnsi="Calibri" w:eastAsia="Calibri" w:ascii="Calibri"/>
          <w:b w:val="1"/>
          <w:sz w:val="31"/>
          <w:vertAlign w:val="superscript"/>
        </w:rPr>
        <w:t xml:space="preserve"> 	</w:t>
      </w:r>
      <w:r>
        <w:rPr>
          <w:rFonts w:cs="Calibri" w:hAnsi="Calibri" w:eastAsia="Calibri" w:ascii="Calibri"/>
          <w:b w:val="1"/>
          <w:sz w:val="20"/>
        </w:rPr>
        <w:t xml:space="preserve">Democratic Empowerment Project</w:t>
      </w:r>
      <w:r>
        <w:rPr>
          <w:rFonts w:cs="Calibri" w:hAnsi="Calibri" w:eastAsia="Calibri" w:ascii="Calibri"/>
          <w:b w:val="1"/>
          <w:sz w:val="20"/>
        </w:rPr>
        <w:t xml:space="preserve"> </w:t>
      </w:r>
    </w:p>
    <w:p>
      <w:pPr>
        <w:spacing w:before="0" w:after="0" w:line="259" w:lineRule="auto"/>
        <w:ind w:left="4249" w:right="0" w:firstLine="0"/>
        <w:jc w:val="left"/>
      </w:pPr>
      <w:r>
        <w:rPr>
          <w:sz w:val="20"/>
        </w:rPr>
        <w:t xml:space="preserve"> </w:t>
      </w:r>
    </w:p>
    <w:p>
      <w:pPr>
        <w:tabs>
          <w:tab w:val="right" w:pos="9792"/>
        </w:tabs>
        <w:spacing w:before="0" w:after="2" w:line="259" w:lineRule="auto"/>
        <w:ind w:left="0" w:right="0" w:firstLine="0"/>
        <w:jc w:val="left"/>
      </w:pPr>
      <w:r>
        <w:rPr>
          <w:sz w:val="20"/>
        </w:rPr>
        <w:t xml:space="preserve">UNDAP Outcome(s):</w:t>
      </w:r>
      <w:r>
        <w:rPr>
          <w:rFonts w:cs="Calibri" w:hAnsi="Calibri" w:eastAsia="Calibri" w:ascii="Calibri"/>
          <w:b w:val="1"/>
          <w:sz w:val="20"/>
        </w:rPr>
        <w:t xml:space="preserve"> 	</w:t>
      </w:r>
      <w:r>
        <w:rPr>
          <w:sz w:val="20"/>
        </w:rPr>
        <w:t xml:space="preserve">7. Key institutions effectively implement their election and political </w:t>
      </w:r>
    </w:p>
    <w:p>
      <w:pPr>
        <w:spacing w:before="0" w:after="0" w:line="259" w:lineRule="auto"/>
        <w:ind w:left="10" w:right="539"/>
        <w:jc w:val="center"/>
      </w:pPr>
      <w:r>
        <w:rPr>
          <w:sz w:val="20"/>
        </w:rPr>
        <w:t xml:space="preserve">functions</w:t>
      </w:r>
      <w:r>
        <w:rPr>
          <w:sz w:val="20"/>
        </w:rPr>
        <w:t xml:space="preserve"> </w:t>
      </w:r>
    </w:p>
    <w:p>
      <w:pPr>
        <w:spacing w:before="0" w:after="0" w:line="259" w:lineRule="auto"/>
        <w:ind w:left="4249" w:right="0" w:firstLine="0"/>
        <w:jc w:val="left"/>
      </w:pPr>
      <w:r>
        <w:rPr>
          <w:sz w:val="20"/>
        </w:rPr>
        <w:t xml:space="preserve"> </w:t>
      </w:r>
    </w:p>
    <w:p>
      <w:pPr>
        <w:spacing w:before="0" w:after="2" w:line="259" w:lineRule="auto"/>
        <w:ind w:left="93" w:right="0" w:firstLine="4141"/>
      </w:pPr>
      <w:r>
        <w:rPr>
          <w:sz w:val="20"/>
        </w:rPr>
        <w:t xml:space="preserve">7.4: Election Management Bodies better manage the election cycle Expected Output(s):</w:t>
      </w:r>
      <w:r>
        <w:rPr>
          <w:rFonts w:cs="Calibri" w:hAnsi="Calibri" w:eastAsia="Calibri" w:ascii="Calibri"/>
          <w:b w:val="1"/>
          <w:i w:val="1"/>
          <w:sz w:val="20"/>
        </w:rPr>
        <w:t xml:space="preserve"> </w:t>
      </w:r>
      <w:r>
        <w:rPr>
          <w:sz w:val="20"/>
        </w:rPr>
        <w:t xml:space="preserve">through the application of integrated management systems </w:t>
      </w:r>
      <w:r>
        <w:rPr>
          <w:sz w:val="20"/>
        </w:rPr>
        <w:t xml:space="preserve"> </w:t>
      </w:r>
    </w:p>
    <w:p>
      <w:pPr>
        <w:spacing w:before="0" w:after="0" w:line="259" w:lineRule="auto"/>
        <w:ind w:left="4249" w:right="0" w:firstLine="0"/>
        <w:jc w:val="left"/>
      </w:pPr>
      <w:r>
        <w:rPr>
          <w:sz w:val="20"/>
        </w:rPr>
        <w:t xml:space="preserve"> </w:t>
      </w:r>
    </w:p>
    <w:p>
      <w:pPr>
        <w:spacing w:before="0" w:after="2" w:line="259" w:lineRule="auto"/>
        <w:ind w:left="4259" w:right="0"/>
      </w:pPr>
      <w:r>
        <w:rPr>
          <w:sz w:val="20"/>
        </w:rPr>
        <w:t xml:space="preserve">7.6 Political Parties improve internal party democracy</w:t>
      </w:r>
      <w:r>
        <w:rPr>
          <w:sz w:val="20"/>
        </w:rPr>
        <w:t xml:space="preserve"> </w:t>
      </w:r>
    </w:p>
    <w:p>
      <w:pPr>
        <w:spacing w:before="0" w:after="0" w:line="259" w:lineRule="auto"/>
        <w:ind w:left="4249" w:right="0" w:firstLine="0"/>
        <w:jc w:val="left"/>
      </w:pPr>
      <w:r>
        <w:rPr>
          <w:sz w:val="20"/>
        </w:rPr>
        <w:t xml:space="preserve"> </w:t>
      </w:r>
    </w:p>
    <w:p>
      <w:pPr>
        <w:spacing w:before="0" w:after="0" w:line="259" w:lineRule="auto"/>
        <w:ind w:left="108" w:right="0" w:firstLine="0"/>
        <w:jc w:val="left"/>
      </w:pPr>
      <w:r>
        <w:rPr>
          <w:sz w:val="20"/>
        </w:rPr>
        <w:t xml:space="preserve"> </w:t>
      </w:r>
    </w:p>
    <w:p>
      <w:pPr>
        <w:spacing w:before="0" w:after="2" w:line="259" w:lineRule="auto"/>
        <w:ind w:left="4259" w:right="0"/>
      </w:pPr>
      <w:r>
        <w:rPr>
          <w:sz w:val="20"/>
        </w:rPr>
        <w:t xml:space="preserve">7.7 Women assume leadership roles and positions in politics</w:t>
      </w:r>
      <w:r>
        <w:rPr>
          <w:sz w:val="20"/>
        </w:rPr>
        <w:t xml:space="preserve"> </w:t>
      </w:r>
      <w:r>
        <w:rPr>
          <w:sz w:val="20"/>
        </w:rPr>
        <w:t xml:space="preserve">and in </w:t>
      </w:r>
    </w:p>
    <w:p>
      <w:pPr>
        <w:spacing w:before="0" w:after="0" w:line="259" w:lineRule="auto"/>
        <w:ind w:left="108" w:right="0" w:firstLine="0"/>
        <w:jc w:val="left"/>
      </w:pPr>
      <w:r>
        <w:rPr>
          <w:sz w:val="20"/>
        </w:rPr>
        <w:t xml:space="preserve"> </w:t>
      </w:r>
    </w:p>
    <w:p>
      <w:pPr>
        <w:spacing w:before="0" w:after="0" w:line="259" w:lineRule="auto"/>
        <w:ind w:left="10" w:right="840"/>
        <w:jc w:val="center"/>
      </w:pPr>
      <w:r>
        <w:rPr>
          <w:sz w:val="20"/>
        </w:rPr>
        <w:t xml:space="preserve">EMBs</w:t>
      </w:r>
      <w:r>
        <w:rPr>
          <w:sz w:val="20"/>
        </w:rPr>
        <w:t xml:space="preserve"> </w:t>
      </w:r>
    </w:p>
    <w:p>
      <w:pPr>
        <w:spacing w:before="0" w:after="0" w:line="259" w:lineRule="auto"/>
        <w:ind w:left="108" w:right="0" w:firstLine="0"/>
        <w:jc w:val="left"/>
      </w:pPr>
      <w:r>
        <w:rPr>
          <w:rFonts w:cs="Calibri" w:hAnsi="Calibri" w:eastAsia="Calibri" w:ascii="Calibri"/>
          <w:b w:val="1"/>
          <w:i w:val="1"/>
          <w:sz w:val="20"/>
        </w:rPr>
        <w:t xml:space="preserve"> </w:t>
      </w:r>
    </w:p>
    <w:p>
      <w:pPr>
        <w:spacing w:before="0" w:after="0" w:line="259" w:lineRule="auto"/>
        <w:ind w:left="4249" w:right="0" w:firstLine="0"/>
        <w:jc w:val="left"/>
      </w:pPr>
      <w:r>
        <w:rPr>
          <w:sz w:val="20"/>
        </w:rPr>
        <w:t xml:space="preserve"> </w:t>
      </w:r>
    </w:p>
    <w:p>
      <w:pPr>
        <w:spacing w:before="0" w:after="0" w:line="259" w:lineRule="auto"/>
        <w:ind w:left="4249" w:right="0" w:firstLine="0"/>
        <w:jc w:val="left"/>
      </w:pPr>
      <w:r>
        <w:rPr>
          <w:sz w:val="20"/>
        </w:rPr>
        <w:t xml:space="preserve"> </w:t>
      </w:r>
    </w:p>
    <w:p>
      <w:pPr>
        <w:spacing w:before="0" w:after="0" w:line="259" w:lineRule="auto"/>
        <w:ind w:left="108" w:right="0" w:firstLine="0"/>
        <w:jc w:val="left"/>
      </w:pPr>
      <w:r>
        <w:rPr>
          <w:sz w:val="20"/>
        </w:rPr>
        <w:t xml:space="preserve"> </w:t>
      </w:r>
    </w:p>
    <w:p>
      <w:pPr>
        <w:spacing w:before="0" w:after="2" w:line="259" w:lineRule="auto"/>
        <w:ind w:left="93" w:right="991" w:firstLine="4141"/>
      </w:pPr>
      <w:r>
        <w:rPr>
          <w:sz w:val="20"/>
        </w:rPr>
        <w:t xml:space="preserve">United Nations Development Programme</w:t>
      </w:r>
      <w:r>
        <w:rPr>
          <w:sz w:val="20"/>
        </w:rPr>
        <w:t xml:space="preserve"> </w:t>
      </w:r>
      <w:r>
        <w:rPr>
          <w:sz w:val="20"/>
        </w:rPr>
        <w:t xml:space="preserve">Implementing Partner</w:t>
      </w:r>
      <w:r>
        <w:rPr>
          <w:sz w:val="20"/>
        </w:rPr>
        <w:t xml:space="preserve">:</w:t>
      </w:r>
      <w:r>
        <w:rPr>
          <w:rFonts w:cs="Calibri" w:hAnsi="Calibri" w:eastAsia="Calibri" w:ascii="Calibri"/>
          <w:b w:val="1"/>
          <w:i w:val="1"/>
          <w:sz w:val="20"/>
        </w:rPr>
        <w:t xml:space="preserve"> </w:t>
      </w:r>
    </w:p>
    <w:p>
      <w:pPr>
        <w:spacing w:before="0" w:after="0" w:line="259" w:lineRule="auto"/>
        <w:ind w:left="108" w:right="0" w:firstLine="0"/>
        <w:jc w:val="left"/>
      </w:pPr>
      <w:r>
        <w:rPr>
          <w:sz w:val="20"/>
        </w:rPr>
        <w:t xml:space="preserve"> 	 </w:t>
      </w:r>
    </w:p>
    <w:p>
      <w:pPr>
        <w:tabs>
          <w:tab w:val="center" w:pos="6665"/>
        </w:tabs>
        <w:spacing w:before="0" w:after="2" w:line="259" w:lineRule="auto"/>
        <w:ind w:left="0" w:right="0" w:firstLine="0"/>
        <w:jc w:val="left"/>
      </w:pPr>
      <w:r>
        <w:rPr>
          <w:sz w:val="20"/>
        </w:rPr>
        <w:t xml:space="preserve">National Partners:</w:t>
      </w:r>
      <w:r>
        <w:rPr>
          <w:sz w:val="20"/>
        </w:rPr>
        <w:t xml:space="preserve"> 	</w:t>
      </w:r>
      <w:r>
        <w:rPr>
          <w:sz w:val="20"/>
        </w:rPr>
        <w:t xml:space="preserve">NEC, ZEC, RPP, TPF, Political Parties, Civil Society and Media </w:t>
      </w:r>
      <w:r>
        <w:rPr>
          <w:sz w:val="20"/>
        </w:rPr>
        <w:t xml:space="preserve"> </w:t>
      </w:r>
    </w:p>
    <w:p>
      <w:pPr>
        <w:spacing w:before="0" w:after="0" w:line="259" w:lineRule="auto"/>
        <w:ind w:left="108" w:right="0" w:firstLine="0"/>
        <w:jc w:val="left"/>
      </w:pPr>
      <w:r>
        <w:rPr>
          <w:sz w:val="18"/>
        </w:rPr>
        <w:t xml:space="preserve"> 	 </w:t>
      </w:r>
    </w:p>
    <w:tbl>
      <w:tblPr>
        <w:tblStyle w:val="TableGrid"/>
        <w:tblW w:w="10790" w:type="dxa"/>
        <w:tblInd w:w="-895" w:type="dxa"/>
        <w:tblCellMar>
          <w:top w:w="0" w:type="dxa"/>
          <w:left w:w="0" w:type="dxa"/>
          <w:bottom w:w="0" w:type="dxa"/>
          <w:right w:w="26" w:type="dxa"/>
        </w:tblCellMar>
      </w:tblPr>
      <w:tblGrid>
        <w:gridCol w:w="1591"/>
        <w:gridCol w:w="3196"/>
        <w:gridCol w:w="100"/>
        <w:gridCol w:w="5903"/>
      </w:tblGrid>
      <w:tr>
        <w:trPr>
          <w:trHeight w:val="4169" w:hRule="atLeast"/>
        </w:trPr>
        <w:tc>
          <w:tcPr>
            <w:tcW w:w="1591" w:type="dxa"/>
            <w:tcBorders>
              <w:top w:val="single" w:sz="6" w:color="000000"/>
              <w:left w:val="single" w:sz="6" w:color="000000"/>
              <w:bottom w:val="single" w:sz="6" w:color="000000"/>
              <w:right w:val="nil"/>
            </w:tcBorders>
            <w:vAlign w:val="top"/>
          </w:tcPr>
          <w:p>
            <w:pPr>
              <w:spacing w:before="0" w:after="0" w:line="259" w:lineRule="auto"/>
              <w:ind w:left="151" w:right="0" w:firstLine="0"/>
              <w:jc w:val="left"/>
            </w:pPr>
            <w:r>
              <w:rPr>
                <w:rFonts w:cs="Garamond" w:hAnsi="Garamond" w:eastAsia="Garamond" w:ascii="Garamond"/>
                <w:sz w:val="24"/>
              </w:rPr>
              <w:t xml:space="preserve"> </w:t>
            </w:r>
          </w:p>
          <w:p>
            <w:pPr>
              <w:spacing w:before="0" w:after="0" w:line="259" w:lineRule="auto"/>
              <w:ind w:left="151" w:right="0" w:firstLine="0"/>
              <w:jc w:val="left"/>
            </w:pPr>
            <w:r>
              <w:rPr>
                <w:sz w:val="16"/>
              </w:rPr>
              <w:t xml:space="preserve">Programme Period:   </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UNDAP Key Action: </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Atlas Award ID:</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Start date:</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End Date:</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PAC Meeting Date:</w:t>
            </w:r>
            <w:r>
              <w:rPr>
                <w:sz w:val="16"/>
              </w:rPr>
              <w:t xml:space="preserve"> </w:t>
            </w:r>
          </w:p>
          <w:p>
            <w:pPr>
              <w:spacing w:before="0" w:after="0" w:line="259" w:lineRule="auto"/>
              <w:ind w:left="151" w:right="0" w:firstLine="0"/>
              <w:jc w:val="left"/>
            </w:pPr>
            <w:r>
              <w:rPr>
                <w:sz w:val="16"/>
              </w:rPr>
              <w:t xml:space="preserve"> </w:t>
            </w:r>
          </w:p>
          <w:p>
            <w:pPr>
              <w:spacing w:before="0" w:after="0" w:line="259" w:lineRule="auto"/>
              <w:ind w:left="151" w:right="0" w:firstLine="0"/>
              <w:jc w:val="left"/>
            </w:pPr>
            <w:r>
              <w:rPr>
                <w:sz w:val="16"/>
              </w:rPr>
              <w:t xml:space="preserve">Management </w:t>
            </w:r>
            <w:r>
              <w:rPr>
                <w:sz w:val="16"/>
              </w:rPr>
              <w:t xml:space="preserve"> </w:t>
            </w:r>
          </w:p>
          <w:p>
            <w:pPr>
              <w:spacing w:before="0" w:after="2" w:line="259" w:lineRule="auto"/>
              <w:ind w:left="151" w:right="0" w:firstLine="0"/>
              <w:jc w:val="left"/>
            </w:pPr>
            <w:r>
              <w:rPr>
                <w:sz w:val="16"/>
              </w:rPr>
              <w:t xml:space="preserve">Arrangements:            </w:t>
            </w:r>
          </w:p>
          <w:p>
            <w:pPr>
              <w:spacing w:before="0" w:after="0" w:line="259" w:lineRule="auto"/>
              <w:ind w:left="151" w:right="0" w:firstLine="0"/>
              <w:jc w:val="left"/>
            </w:pPr>
            <w:r>
              <w:rPr>
                <w:sz w:val="18"/>
              </w:rPr>
              <w:t xml:space="preserve"> </w:t>
            </w:r>
          </w:p>
          <w:p>
            <w:pPr>
              <w:spacing w:before="0" w:after="0" w:line="259" w:lineRule="auto"/>
              <w:ind w:left="151" w:right="0" w:firstLine="0"/>
              <w:jc w:val="left"/>
            </w:pPr>
            <w:r>
              <w:rPr>
                <w:rFonts w:cs="Garamond" w:hAnsi="Garamond" w:eastAsia="Garamond" w:ascii="Garamond"/>
                <w:sz w:val="18"/>
              </w:rPr>
              <w:t xml:space="preserve"> </w:t>
            </w:r>
          </w:p>
        </w:tc>
        <w:tc>
          <w:tcPr>
            <w:tcW w:w="3196" w:type="dxa"/>
            <w:tcBorders>
              <w:top w:val="single" w:sz="6" w:color="000000"/>
              <w:left w:val="nil"/>
              <w:bottom w:val="single" w:sz="6" w:color="000000"/>
              <w:right w:val="single" w:sz="6" w:color="000000"/>
            </w:tcBorders>
            <w:vAlign w:val="top"/>
          </w:tcPr>
          <w:p>
            <w:pPr>
              <w:spacing w:before="0" w:after="374" w:line="259" w:lineRule="auto"/>
              <w:ind w:left="0" w:right="0" w:firstLine="0"/>
              <w:jc w:val="left"/>
            </w:pPr>
            <w:r>
              <w:rPr>
                <w:sz w:val="16"/>
              </w:rPr>
              <w:t xml:space="preserve">Jan 2013 to June 2016</w:t>
            </w:r>
            <w:r>
              <w:rPr>
                <w:sz w:val="16"/>
              </w:rPr>
              <w:t xml:space="preserve"> </w:t>
            </w:r>
          </w:p>
          <w:p>
            <w:pPr>
              <w:spacing w:before="0" w:after="177" w:line="259" w:lineRule="auto"/>
              <w:ind w:left="0" w:right="0" w:firstLine="0"/>
              <w:jc w:val="left"/>
            </w:pPr>
            <w:r>
              <w:rPr>
                <w:sz w:val="16"/>
              </w:rPr>
              <w:t xml:space="preserve">7.4.1; 7.6.1; 7.6.2; 7.7.1; 7.8.1.</w:t>
            </w:r>
            <w:r>
              <w:rPr>
                <w:sz w:val="16"/>
              </w:rPr>
              <w:t xml:space="preserve"> </w:t>
            </w:r>
          </w:p>
          <w:p>
            <w:pPr>
              <w:spacing w:before="0" w:after="179" w:line="259" w:lineRule="auto"/>
              <w:ind w:left="0" w:right="0" w:firstLine="0"/>
              <w:jc w:val="left"/>
            </w:pPr>
            <w:r>
              <w:rPr>
                <w:sz w:val="16"/>
              </w:rPr>
              <w:t xml:space="preserve">00068932</w:t>
            </w:r>
            <w:r>
              <w:rPr>
                <w:sz w:val="16"/>
              </w:rPr>
              <w:t xml:space="preserve"> </w:t>
            </w:r>
          </w:p>
          <w:p>
            <w:pPr>
              <w:spacing w:before="0" w:after="179" w:line="259" w:lineRule="auto"/>
              <w:ind w:left="0" w:right="0" w:firstLine="0"/>
              <w:jc w:val="left"/>
            </w:pPr>
            <w:r>
              <w:rPr>
                <w:sz w:val="16"/>
              </w:rPr>
              <w:t xml:space="preserve">January 2013</w:t>
            </w:r>
            <w:r>
              <w:rPr>
                <w:sz w:val="16"/>
              </w:rPr>
              <w:t xml:space="preserve"> </w:t>
            </w:r>
          </w:p>
          <w:p>
            <w:pPr>
              <w:spacing w:before="0" w:after="195" w:line="259" w:lineRule="auto"/>
              <w:ind w:left="0" w:right="0" w:firstLine="0"/>
              <w:jc w:val="left"/>
            </w:pPr>
            <w:r>
              <w:rPr>
                <w:sz w:val="16"/>
              </w:rPr>
              <w:t xml:space="preserve">June 2016</w:t>
            </w:r>
            <w:r>
              <w:rPr>
                <w:sz w:val="16"/>
              </w:rPr>
              <w:t xml:space="preserve"> </w:t>
            </w:r>
          </w:p>
          <w:p>
            <w:pPr>
              <w:spacing w:before="0" w:after="396" w:line="259" w:lineRule="auto"/>
              <w:ind w:left="0" w:right="0" w:firstLine="0"/>
              <w:jc w:val="left"/>
            </w:pPr>
            <w:r>
              <w:rPr>
                <w:sz w:val="16"/>
              </w:rPr>
              <w:t xml:space="preserve">29</w:t>
            </w:r>
            <w:r>
              <w:rPr>
                <w:sz w:val="16"/>
                <w:vertAlign w:val="superscript"/>
              </w:rPr>
              <w:t xml:space="preserve">th</w:t>
            </w:r>
            <w:r>
              <w:rPr>
                <w:sz w:val="16"/>
              </w:rPr>
              <w:t xml:space="preserve"> </w:t>
            </w:r>
            <w:r>
              <w:rPr>
                <w:sz w:val="16"/>
              </w:rPr>
              <w:t xml:space="preserve">January 2013</w:t>
            </w:r>
            <w:r>
              <w:rPr>
                <w:sz w:val="16"/>
              </w:rPr>
              <w:t xml:space="preserve"> </w:t>
            </w:r>
          </w:p>
          <w:p>
            <w:pPr>
              <w:spacing w:before="0" w:after="0" w:line="259" w:lineRule="auto"/>
              <w:ind w:left="-36" w:right="0" w:firstLine="0"/>
              <w:jc w:val="left"/>
            </w:pPr>
            <w:r>
              <w:rPr>
                <w:sz w:val="16"/>
              </w:rPr>
              <w:t xml:space="preserve">Direct Implementation</w:t>
            </w:r>
            <w:r>
              <w:rPr>
                <w:sz w:val="16"/>
              </w:rPr>
              <w:t xml:space="preserve"> </w:t>
            </w:r>
          </w:p>
        </w:tc>
        <w:tc>
          <w:tcPr>
            <w:tcW w:w="100" w:type="dxa"/>
            <w:tcBorders>
              <w:top w:val="nil"/>
              <w:left w:val="single" w:sz="6" w:color="000000"/>
              <w:bottom w:val="nil"/>
              <w:right w:val="single" w:sz="6" w:color="000000"/>
            </w:tcBorders>
            <w:vAlign w:val="bottom"/>
          </w:tcPr>
          <w:p>
            <w:pPr>
              <w:bidi w:val="0"/>
              <w:spacing w:before="0" w:after="160" w:line="259" w:lineRule="auto"/>
              <w:ind w:left="0" w:right="0" w:firstLine="0"/>
              <w:jc w:val="left"/>
            </w:pPr>
          </w:p>
        </w:tc>
        <w:tc>
          <w:tcPr>
            <w:tcW w:w="5903" w:type="dxa"/>
            <w:tcBorders>
              <w:top w:val="single" w:sz="6" w:color="000000"/>
              <w:left w:val="single" w:sz="6" w:color="000000"/>
              <w:bottom w:val="single" w:sz="6" w:color="000000"/>
              <w:right w:val="single" w:sz="6" w:color="000000"/>
            </w:tcBorders>
            <w:vAlign w:val="top"/>
          </w:tcPr>
          <w:p>
            <w:pPr>
              <w:spacing w:before="0" w:after="0" w:line="259" w:lineRule="auto"/>
              <w:ind w:left="94" w:right="0" w:firstLine="0"/>
              <w:jc w:val="left"/>
            </w:pPr>
            <w:r>
              <w:rPr>
                <w:rFonts w:cs="Calibri" w:hAnsi="Calibri" w:eastAsia="Calibri" w:ascii="Calibri"/>
                <w:b w:val="1"/>
                <w:sz w:val="18"/>
              </w:rPr>
              <w:t xml:space="preserve"> 	 </w:t>
            </w:r>
          </w:p>
          <w:p>
            <w:pPr>
              <w:spacing w:before="0" w:after="68" w:line="259" w:lineRule="auto"/>
              <w:ind w:left="154" w:right="0" w:firstLine="0"/>
              <w:jc w:val="left"/>
            </w:pPr>
            <w:r>
              <w:rPr>
                <w:sz w:val="16"/>
              </w:rPr>
              <w:t xml:space="preserve">Total resources required are USD </w:t>
            </w:r>
            <w:r>
              <w:rPr>
                <w:sz w:val="16"/>
              </w:rPr>
              <w:t xml:space="preserve">22,500,000</w:t>
            </w:r>
            <w:r>
              <w:rPr>
                <w:sz w:val="16"/>
              </w:rPr>
              <w:t xml:space="preserve">  </w:t>
            </w:r>
          </w:p>
          <w:p>
            <w:pPr>
              <w:spacing w:before="0" w:after="0" w:line="216" w:lineRule="auto"/>
              <w:ind w:left="94" w:right="2418" w:firstLine="0"/>
              <w:jc w:val="left"/>
            </w:pPr>
            <w:r>
              <w:rPr>
                <w:rFonts w:cs="Calibri" w:hAnsi="Calibri" w:eastAsia="Calibri" w:ascii="Calibri"/>
                <w:b w:val="1"/>
                <w:sz w:val="28"/>
                <w:vertAlign w:val="superscript"/>
              </w:rPr>
              <w:t xml:space="preserve"> </w:t>
            </w:r>
            <w:r>
              <w:rPr>
                <w:sz w:val="16"/>
              </w:rPr>
              <w:t xml:space="preserve">Total allocated resources:</w:t>
            </w:r>
            <w:r>
              <w:rPr>
                <w:sz w:val="16"/>
              </w:rPr>
              <w:t xml:space="preserve"> 	 	 </w:t>
            </w:r>
            <w:r>
              <w:rPr>
                <w:rFonts w:cs="Calibri" w:hAnsi="Calibri" w:eastAsia="Calibri" w:ascii="Calibri"/>
                <w:b w:val="1"/>
                <w:sz w:val="28"/>
                <w:vertAlign w:val="superscript"/>
              </w:rPr>
              <w:t xml:space="preserve"> </w:t>
            </w:r>
            <w:r>
              <w:rPr>
                <w:sz w:val="16"/>
              </w:rPr>
              <w:t xml:space="preserve">UNDP Regular</w:t>
            </w:r>
            <w:r>
              <w:rPr>
                <w:sz w:val="16"/>
              </w:rPr>
              <w:t xml:space="preserve"> 	 	</w:t>
            </w:r>
            <w:r>
              <w:rPr>
                <w:sz w:val="16"/>
              </w:rPr>
              <w:t xml:space="preserve">USD 2,000,000 </w:t>
            </w:r>
            <w:r>
              <w:rPr>
                <w:sz w:val="16"/>
              </w:rPr>
              <w:t xml:space="preserve"> </w:t>
            </w:r>
          </w:p>
          <w:p>
            <w:pPr>
              <w:spacing w:before="0" w:after="34" w:line="255" w:lineRule="auto"/>
              <w:ind w:left="94" w:right="3551" w:firstLine="0"/>
              <w:jc w:val="left"/>
            </w:pPr>
            <w:r>
              <w:rPr>
                <w:rFonts w:cs="Calibri" w:hAnsi="Calibri" w:eastAsia="Calibri" w:ascii="Calibri"/>
                <w:b w:val="1"/>
                <w:sz w:val="18"/>
              </w:rPr>
              <w:t xml:space="preserve"> </w:t>
            </w:r>
            <w:r>
              <w:rPr>
                <w:rFonts w:cs="Calibri" w:hAnsi="Calibri" w:eastAsia="Calibri" w:ascii="Calibri"/>
                <w:b w:val="1"/>
                <w:sz w:val="16"/>
              </w:rPr>
              <w:t xml:space="preserve">Non Core Contributions:</w:t>
            </w:r>
            <w:r>
              <w:rPr>
                <w:rFonts w:cs="Calibri" w:hAnsi="Calibri" w:eastAsia="Calibri" w:ascii="Calibri"/>
                <w:b w:val="1"/>
                <w:sz w:val="16"/>
              </w:rPr>
              <w:t xml:space="preserve"> </w:t>
            </w:r>
            <w:r>
              <w:rPr>
                <w:rFonts w:cs="Calibri" w:hAnsi="Calibri" w:eastAsia="Calibri" w:ascii="Calibri"/>
                <w:b w:val="1"/>
                <w:sz w:val="18"/>
              </w:rPr>
              <w:t xml:space="preserve"> </w:t>
            </w:r>
            <w:r>
              <w:rPr>
                <w:rFonts w:cs="Calibri" w:hAnsi="Calibri" w:eastAsia="Calibri" w:ascii="Calibri"/>
                <w:b w:val="1"/>
                <w:sz w:val="16"/>
              </w:rPr>
              <w:t xml:space="preserve">Balance from DDTP:</w:t>
            </w:r>
            <w:r>
              <w:rPr>
                <w:rFonts w:cs="Calibri" w:hAnsi="Calibri" w:eastAsia="Calibri" w:ascii="Calibri"/>
                <w:b w:val="1"/>
                <w:sz w:val="16"/>
              </w:rPr>
              <w:t xml:space="preserve"> </w:t>
            </w:r>
          </w:p>
          <w:p>
            <w:pPr>
              <w:numPr>
                <w:ilvl w:val="0"/>
                <w:numId w:val="38"/>
              </w:numPr>
              <w:spacing w:before="0" w:after="0" w:line="259" w:lineRule="auto"/>
              <w:ind w:left="814" w:right="0" w:hanging="720"/>
              <w:jc w:val="left"/>
            </w:pPr>
            <w:r>
              <w:rPr>
                <w:sz w:val="16"/>
              </w:rPr>
              <w:t xml:space="preserve">DFID</w:t>
            </w:r>
            <w:r>
              <w:rPr>
                <w:sz w:val="16"/>
              </w:rPr>
              <w:t xml:space="preserve"> 	 	 	</w:t>
            </w:r>
            <w:r>
              <w:rPr>
                <w:sz w:val="16"/>
              </w:rPr>
              <w:t xml:space="preserve">USD 973,686</w:t>
            </w:r>
            <w:r>
              <w:rPr>
                <w:sz w:val="16"/>
              </w:rPr>
              <w:t xml:space="preserve"> </w:t>
            </w:r>
          </w:p>
          <w:p>
            <w:pPr>
              <w:spacing w:before="0" w:after="39" w:line="259" w:lineRule="auto"/>
              <w:ind w:left="94" w:right="0" w:firstLine="0"/>
              <w:jc w:val="left"/>
            </w:pPr>
            <w:r>
              <w:rPr>
                <w:rFonts w:cs="Calibri" w:hAnsi="Calibri" w:eastAsia="Calibri" w:ascii="Calibri"/>
                <w:b w:val="1"/>
                <w:sz w:val="18"/>
              </w:rPr>
              <w:t xml:space="preserve"> </w:t>
            </w:r>
            <w:r>
              <w:rPr>
                <w:rFonts w:cs="Calibri" w:hAnsi="Calibri" w:eastAsia="Calibri" w:ascii="Calibri"/>
                <w:b w:val="1"/>
                <w:sz w:val="16"/>
              </w:rPr>
              <w:t xml:space="preserve">New Contributions </w:t>
            </w:r>
            <w:r>
              <w:rPr>
                <w:rFonts w:cs="Calibri" w:hAnsi="Calibri" w:eastAsia="Calibri" w:ascii="Calibri"/>
                <w:b w:val="1"/>
                <w:sz w:val="16"/>
              </w:rPr>
              <w:t xml:space="preserve"> </w:t>
            </w:r>
          </w:p>
          <w:p>
            <w:pPr>
              <w:numPr>
                <w:ilvl w:val="0"/>
                <w:numId w:val="38"/>
              </w:numPr>
              <w:spacing w:before="0" w:after="13" w:line="259" w:lineRule="auto"/>
              <w:ind w:left="814" w:right="0" w:hanging="720"/>
              <w:jc w:val="left"/>
            </w:pPr>
            <w:r>
              <w:rPr>
                <w:sz w:val="16"/>
              </w:rPr>
              <w:t xml:space="preserve">EU </w:t>
            </w:r>
            <w:r>
              <w:rPr>
                <w:sz w:val="16"/>
              </w:rPr>
              <w:t xml:space="preserve"> 	 	 	</w:t>
            </w:r>
            <w:r>
              <w:rPr>
                <w:sz w:val="16"/>
              </w:rPr>
              <w:t xml:space="preserve">USD 5,968,169.76 (EUR 4.5M) </w:t>
            </w:r>
            <w:r>
              <w:rPr>
                <w:sz w:val="16"/>
              </w:rPr>
              <w:t xml:space="preserve"> </w:t>
            </w:r>
          </w:p>
          <w:p>
            <w:pPr>
              <w:numPr>
                <w:ilvl w:val="0"/>
                <w:numId w:val="38"/>
              </w:numPr>
              <w:spacing w:before="0" w:after="10" w:line="259" w:lineRule="auto"/>
              <w:ind w:left="814" w:right="0" w:hanging="720"/>
              <w:jc w:val="left"/>
            </w:pPr>
            <w:r>
              <w:rPr>
                <w:sz w:val="16"/>
              </w:rPr>
              <w:t xml:space="preserve">Switzerland</w:t>
            </w:r>
            <w:r>
              <w:rPr>
                <w:sz w:val="16"/>
              </w:rPr>
              <w:t xml:space="preserve"> 	 	</w:t>
            </w:r>
            <w:r>
              <w:rPr>
                <w:sz w:val="16"/>
              </w:rPr>
              <w:t xml:space="preserve">USD 2,000,000 (TBC)</w:t>
            </w:r>
            <w:r>
              <w:rPr>
                <w:sz w:val="16"/>
              </w:rPr>
              <w:t xml:space="preserve"> </w:t>
            </w:r>
          </w:p>
          <w:p>
            <w:pPr>
              <w:numPr>
                <w:ilvl w:val="0"/>
                <w:numId w:val="38"/>
              </w:numPr>
              <w:spacing w:before="0" w:after="8" w:line="259" w:lineRule="auto"/>
              <w:ind w:left="814" w:right="0" w:hanging="720"/>
              <w:jc w:val="left"/>
            </w:pPr>
            <w:r>
              <w:rPr>
                <w:sz w:val="16"/>
              </w:rPr>
              <w:t xml:space="preserve">Canada </w:t>
            </w:r>
            <w:r>
              <w:rPr>
                <w:sz w:val="16"/>
              </w:rPr>
              <w:t xml:space="preserve"> 	 	 	</w:t>
            </w:r>
            <w:r>
              <w:rPr>
                <w:sz w:val="16"/>
              </w:rPr>
              <w:t xml:space="preserve">USD 2,000,000 (TBC) </w:t>
            </w:r>
            <w:r>
              <w:rPr>
                <w:sz w:val="16"/>
              </w:rPr>
              <w:t xml:space="preserve"> </w:t>
            </w:r>
          </w:p>
          <w:p>
            <w:pPr>
              <w:numPr>
                <w:ilvl w:val="0"/>
                <w:numId w:val="38"/>
              </w:numPr>
              <w:spacing w:before="0" w:after="5" w:line="259" w:lineRule="auto"/>
              <w:ind w:left="814" w:right="0" w:hanging="720"/>
              <w:jc w:val="left"/>
            </w:pPr>
            <w:r>
              <w:rPr>
                <w:sz w:val="16"/>
              </w:rPr>
              <w:t xml:space="preserve">Denmark </w:t>
            </w:r>
            <w:r>
              <w:rPr>
                <w:sz w:val="16"/>
              </w:rPr>
              <w:t xml:space="preserve">  	 	</w:t>
            </w:r>
            <w:r>
              <w:rPr>
                <w:sz w:val="16"/>
              </w:rPr>
              <w:t xml:space="preserve">USD 1,000,000 </w:t>
            </w:r>
            <w:r>
              <w:rPr>
                <w:sz w:val="16"/>
              </w:rPr>
              <w:t xml:space="preserve"> </w:t>
            </w:r>
          </w:p>
          <w:p>
            <w:pPr>
              <w:numPr>
                <w:ilvl w:val="0"/>
                <w:numId w:val="38"/>
              </w:numPr>
              <w:spacing w:before="0" w:after="0" w:line="259" w:lineRule="auto"/>
              <w:ind w:left="814" w:right="0" w:hanging="720"/>
              <w:jc w:val="left"/>
            </w:pPr>
            <w:r>
              <w:rPr>
                <w:sz w:val="16"/>
              </w:rPr>
              <w:t xml:space="preserve">Sweden, Norway, DFID  TBC</w:t>
            </w:r>
            <w:r>
              <w:rPr>
                <w:sz w:val="16"/>
              </w:rPr>
              <w:t xml:space="preserve"> </w:t>
            </w:r>
          </w:p>
          <w:p>
            <w:pPr>
              <w:tabs>
                <w:tab w:val="center" w:pos="785"/>
                <w:tab w:val="center" w:pos="1594"/>
                <w:tab w:val="center" w:pos="2935"/>
              </w:tabs>
              <w:spacing w:before="0" w:after="45" w:line="259" w:lineRule="auto"/>
              <w:ind w:left="0" w:right="0" w:firstLine="0"/>
              <w:jc w:val="left"/>
            </w:pPr>
            <w:r>
              <w:rPr>
                <w:rFonts w:cs="Calibri" w:hAnsi="Calibri" w:eastAsia="Calibri" w:ascii="Calibri"/>
                <w:b w:val="1"/>
                <w:sz w:val="18"/>
              </w:rPr>
              <w:t xml:space="preserve"> 	</w:t>
            </w:r>
            <w:r>
              <w:rPr>
                <w:rFonts w:cs="Calibri" w:hAnsi="Calibri" w:eastAsia="Calibri" w:ascii="Calibri"/>
                <w:i w:val="1"/>
                <w:sz w:val="16"/>
              </w:rPr>
              <w:t xml:space="preserve">Subtotal</w:t>
            </w:r>
            <w:r>
              <w:rPr>
                <w:rFonts w:cs="Calibri" w:hAnsi="Calibri" w:eastAsia="Calibri" w:ascii="Calibri"/>
                <w:i w:val="1"/>
                <w:sz w:val="16"/>
              </w:rPr>
              <w:t xml:space="preserve"> 	 	</w:t>
            </w:r>
            <w:r>
              <w:rPr>
                <w:rFonts w:cs="Calibri" w:hAnsi="Calibri" w:eastAsia="Calibri" w:ascii="Calibri"/>
                <w:i w:val="1"/>
                <w:sz w:val="16"/>
              </w:rPr>
              <w:t xml:space="preserve">USD 11,868,169.76</w:t>
            </w:r>
            <w:r>
              <w:rPr>
                <w:rFonts w:cs="Calibri" w:hAnsi="Calibri" w:eastAsia="Calibri" w:ascii="Calibri"/>
                <w:i w:val="1"/>
                <w:sz w:val="16"/>
              </w:rPr>
              <w:t xml:space="preserve"> </w:t>
            </w:r>
          </w:p>
          <w:p>
            <w:pPr>
              <w:numPr>
                <w:ilvl w:val="0"/>
                <w:numId w:val="38"/>
              </w:numPr>
              <w:spacing w:before="0" w:after="0" w:line="259" w:lineRule="auto"/>
              <w:ind w:left="814" w:right="0" w:hanging="720"/>
              <w:jc w:val="left"/>
            </w:pPr>
            <w:r>
              <w:rPr>
                <w:sz w:val="16"/>
              </w:rPr>
              <w:t xml:space="preserve">One UN Fund                   USD 1,000,000  </w:t>
            </w:r>
            <w:r>
              <w:rPr>
                <w:sz w:val="16"/>
              </w:rPr>
              <w:t xml:space="preserve"> </w:t>
            </w:r>
          </w:p>
          <w:p>
            <w:pPr>
              <w:tabs>
                <w:tab w:val="center" w:pos="962"/>
                <w:tab w:val="center" w:pos="1594"/>
                <w:tab w:val="center" w:pos="2314"/>
              </w:tabs>
              <w:spacing w:before="0" w:after="1" w:line="259" w:lineRule="auto"/>
              <w:ind w:left="0" w:right="0" w:firstLine="0"/>
              <w:jc w:val="left"/>
            </w:pPr>
            <w:r>
              <w:rPr>
                <w:rFonts w:cs="Calibri" w:hAnsi="Calibri" w:eastAsia="Calibri" w:ascii="Calibri"/>
                <w:b w:val="1"/>
                <w:sz w:val="18"/>
              </w:rPr>
              <w:t xml:space="preserve"> 	</w:t>
            </w:r>
            <w:r>
              <w:rPr>
                <w:sz w:val="16"/>
              </w:rPr>
              <w:t xml:space="preserve">Unearmarked </w:t>
            </w:r>
            <w:r>
              <w:rPr>
                <w:sz w:val="16"/>
              </w:rPr>
              <w:t xml:space="preserve"> 	 	 </w:t>
            </w:r>
          </w:p>
          <w:p>
            <w:pPr>
              <w:tabs>
                <w:tab w:val="center" w:pos="874"/>
                <w:tab w:val="center" w:pos="1594"/>
                <w:tab w:val="center" w:pos="2942"/>
              </w:tabs>
              <w:spacing w:before="0" w:after="0" w:line="259" w:lineRule="auto"/>
              <w:ind w:left="0" w:right="0" w:firstLine="0"/>
              <w:jc w:val="left"/>
            </w:pPr>
            <w:r>
              <w:rPr>
                <w:rFonts w:cs="Calibri" w:hAnsi="Calibri" w:eastAsia="Calibri" w:ascii="Calibri"/>
                <w:b w:val="1"/>
                <w:sz w:val="28"/>
                <w:vertAlign w:val="subscript"/>
              </w:rPr>
              <w:t xml:space="preserve"> </w:t>
            </w:r>
            <w:r>
              <w:rPr>
                <w:rFonts w:cs="Calibri" w:hAnsi="Calibri" w:eastAsia="Calibri" w:ascii="Calibri"/>
                <w:b w:val="1"/>
                <w:sz w:val="16"/>
              </w:rPr>
              <w:t xml:space="preserve">Total</w:t>
            </w:r>
            <w:r>
              <w:rPr>
                <w:rFonts w:cs="Calibri" w:hAnsi="Calibri" w:eastAsia="Calibri" w:ascii="Calibri"/>
                <w:b w:val="1"/>
                <w:sz w:val="16"/>
              </w:rPr>
              <w:t xml:space="preserve"> 	 	 	</w:t>
            </w:r>
            <w:r>
              <w:rPr>
                <w:rFonts w:cs="Calibri" w:hAnsi="Calibri" w:eastAsia="Calibri" w:ascii="Calibri"/>
                <w:b w:val="1"/>
                <w:sz w:val="16"/>
              </w:rPr>
              <w:t xml:space="preserve">USD 14,9</w:t>
            </w:r>
            <w:r>
              <w:rPr>
                <w:rFonts w:cs="Calibri" w:hAnsi="Calibri" w:eastAsia="Calibri" w:ascii="Calibri"/>
                <w:b w:val="1"/>
                <w:sz w:val="16"/>
              </w:rPr>
              <w:t xml:space="preserve">41,855.76</w:t>
            </w:r>
            <w:r>
              <w:rPr>
                <w:rFonts w:cs="Calibri" w:hAnsi="Calibri" w:eastAsia="Calibri" w:ascii="Calibri"/>
                <w:b w:val="1"/>
                <w:i w:val="1"/>
                <w:sz w:val="16"/>
              </w:rPr>
              <w:t xml:space="preserve"> </w:t>
            </w:r>
          </w:p>
          <w:p>
            <w:pPr>
              <w:tabs>
                <w:tab w:val="center" w:pos="1594"/>
                <w:tab w:val="center" w:pos="2901"/>
              </w:tabs>
              <w:spacing w:before="0" w:after="0" w:line="259" w:lineRule="auto"/>
              <w:ind w:left="0" w:right="0" w:firstLine="0"/>
              <w:jc w:val="left"/>
            </w:pPr>
            <w:r>
              <w:rPr>
                <w:rFonts w:cs="Calibri" w:hAnsi="Calibri" w:eastAsia="Calibri" w:ascii="Calibri"/>
                <w:b w:val="1"/>
                <w:sz w:val="28"/>
                <w:vertAlign w:val="subscript"/>
              </w:rPr>
              <w:t xml:space="preserve"> </w:t>
            </w:r>
            <w:r>
              <w:rPr>
                <w:rFonts w:cs="Calibri" w:hAnsi="Calibri" w:eastAsia="Calibri" w:ascii="Calibri"/>
                <w:b w:val="1"/>
                <w:sz w:val="16"/>
              </w:rPr>
              <w:t xml:space="preserve">Unfunded: </w:t>
            </w:r>
            <w:r>
              <w:rPr>
                <w:rFonts w:cs="Calibri" w:hAnsi="Calibri" w:eastAsia="Calibri" w:ascii="Calibri"/>
                <w:b w:val="1"/>
                <w:sz w:val="16"/>
              </w:rPr>
              <w:t xml:space="preserve"> 	 	</w:t>
            </w:r>
            <w:r>
              <w:rPr>
                <w:rFonts w:cs="Calibri" w:hAnsi="Calibri" w:eastAsia="Calibri" w:ascii="Calibri"/>
                <w:b w:val="1"/>
                <w:sz w:val="16"/>
              </w:rPr>
              <w:t xml:space="preserve">USD 7,5</w:t>
            </w:r>
            <w:r>
              <w:rPr>
                <w:rFonts w:cs="Calibri" w:hAnsi="Calibri" w:eastAsia="Calibri" w:ascii="Calibri"/>
                <w:b w:val="1"/>
                <w:sz w:val="16"/>
              </w:rPr>
              <w:t xml:space="preserve">58,144.24</w:t>
            </w:r>
            <w:r>
              <w:rPr>
                <w:rFonts w:cs="Calibri" w:hAnsi="Calibri" w:eastAsia="Calibri" w:ascii="Calibri"/>
                <w:b w:val="1"/>
                <w:sz w:val="16"/>
              </w:rPr>
              <w:t xml:space="preserve"> </w:t>
            </w:r>
          </w:p>
          <w:p>
            <w:pPr>
              <w:spacing w:before="0" w:after="0" w:line="259" w:lineRule="auto"/>
              <w:ind w:left="154" w:right="0" w:firstLine="0"/>
              <w:jc w:val="left"/>
            </w:pPr>
            <w:r>
              <w:rPr>
                <w:sz w:val="16"/>
              </w:rPr>
              <w:t xml:space="preserve">In</w:t>
            </w:r>
            <w:r>
              <w:rPr>
                <w:sz w:val="16"/>
              </w:rPr>
              <w:t xml:space="preserve">-</w:t>
            </w:r>
            <w:r>
              <w:rPr>
                <w:sz w:val="16"/>
              </w:rPr>
              <w:t xml:space="preserve">kind Contributions:</w:t>
            </w:r>
            <w:r>
              <w:rPr>
                <w:sz w:val="16"/>
              </w:rPr>
              <w:t xml:space="preserve">  </w:t>
            </w:r>
            <w:r>
              <w:rPr>
                <w:sz w:val="16"/>
              </w:rPr>
              <w:t xml:space="preserve">Government of Tanzania, Government of Zanzibar</w:t>
            </w:r>
            <w:r>
              <w:rPr>
                <w:sz w:val="16"/>
              </w:rPr>
              <w:t xml:space="preserve"> </w:t>
            </w:r>
          </w:p>
          <w:p>
            <w:pPr>
              <w:spacing w:before="0" w:after="0" w:line="259" w:lineRule="auto"/>
              <w:ind w:left="94" w:right="0" w:firstLine="0"/>
              <w:jc w:val="left"/>
            </w:pPr>
            <w:r>
              <w:rPr>
                <w:rFonts w:cs="Calibri" w:hAnsi="Calibri" w:eastAsia="Calibri" w:ascii="Calibri"/>
                <w:b w:val="1"/>
                <w:sz w:val="18"/>
              </w:rPr>
              <w:t xml:space="preserve"> </w:t>
            </w:r>
          </w:p>
        </w:tc>
      </w:tr>
    </w:tbl>
    <w:p>
      <w:pPr>
        <w:spacing w:before="0" w:after="14" w:line="259" w:lineRule="auto"/>
        <w:ind w:left="0" w:right="4664" w:firstLine="0"/>
        <w:jc w:val="right"/>
      </w:pPr>
      <w:r>
        <w:rPr>
          <w:rFonts w:cs="Calibri" w:hAnsi="Calibri" w:eastAsia="Calibri" w:ascii="Calibri"/>
          <w:b w:val="1"/>
          <w:sz w:val="20"/>
          <w:u w:val="single" w:color="000000"/>
        </w:rPr>
        <w:t xml:space="preserve">Signature Page</w:t>
      </w:r>
      <w:r>
        <w:rPr>
          <w:rFonts w:cs="Calibri" w:hAnsi="Calibri" w:eastAsia="Calibri" w:ascii="Calibri"/>
          <w:b w:val="1"/>
          <w:sz w:val="20"/>
        </w:rPr>
        <w:t xml:space="preserve"> </w:t>
      </w:r>
    </w:p>
    <w:p>
      <w:pPr>
        <w:spacing w:before="0" w:after="59" w:line="259" w:lineRule="auto"/>
        <w:ind w:left="0" w:right="0" w:firstLine="0"/>
        <w:jc w:val="left"/>
      </w:pPr>
      <w:r>
        <w:rPr>
          <w:rFonts w:cs="Calibri" w:hAnsi="Calibri" w:eastAsia="Calibri" w:ascii="Calibri"/>
          <w:sz w:val="22"/>
        </w:rPr>
        <w:drawing>
          <wp:inline distT="0" distB="0" distL="0" distR="0">
            <wp:extent cx="5726558" cy="8071231"/>
            <wp:docPr id="109425" name="Group 109425"/>
            <wp:cNvGraphicFramePr/>
            <a:graphic>
              <a:graphicData uri="http://schemas.microsoft.com/office/word/2010/wordprocessingGroup">
                <wpg:wgp>
                  <wpg:cNvGrpSpPr/>
                  <wpg:grpSpPr>
                    <a:xfrm>
                      <a:off x="0" y="0"/>
                      <a:ext cx="5726558" cy="8071231"/>
                      <a:chOff x="0" y="0"/>
                      <a:chExt cx="5726558" cy="8071231"/>
                    </a:xfrm>
                  </wpg:grpSpPr>
                  <wps:wsp>
                    <wps:cNvPr id="563" name="Rectangle 563"/>
                    <wps:cNvSpPr/>
                    <wps:spPr>
                      <a:xfrm>
                        <a:off x="0" y="0"/>
                        <a:ext cx="38021" cy="171355"/>
                      </a:xfrm>
                      <a:prstGeom prst="rect">
                        <a:avLst/>
                      </a:prstGeom>
                      <a:ln>
                        <a:noFill/>
                      </a:ln>
                    </wps:spPr>
                    <wps:txbx>
                      <w:txbxContent>
                        <w:p>
                          <w:pPr>
                            <w:spacing w:before="0" w:after="160" w:line="259" w:lineRule="auto"/>
                            <w:ind w:left="0" w:right="0" w:firstLine="0"/>
                            <w:jc w:val="left"/>
                          </w:pPr>
                          <w:r>
                            <w:rPr>
                              <w:sz w:val="20"/>
                            </w:rPr>
                            <w:t xml:space="preserve"> </w:t>
                          </w:r>
                        </w:p>
                      </w:txbxContent>
                    </wps:txbx>
                    <wps:bodyPr horzOverflow="overflow" rtlCol="0" vert="horz" lIns="0" tIns="0" rIns="0" bIns="0">
                      <a:noAutofit/>
                    </wps:bodyPr>
                  </wps:wsp>
                  <pic:pic xmlns:pic="http://schemas.openxmlformats.org/drawingml/2006/picture">
                    <pic:nvPicPr>
                      <pic:cNvPr id="161975" name="Picture 161975"/>
                      <pic:cNvPicPr/>
                    </pic:nvPicPr>
                    <pic:blipFill>
                      <a:blip r:embed="rId125"/>
                      <a:stretch>
                        <a:fillRect/>
                      </a:stretch>
                    </pic:blipFill>
                    <pic:spPr>
                      <a:xfrm>
                        <a:off x="-1320" y="276479"/>
                        <a:ext cx="5727193" cy="7772401"/>
                      </a:xfrm>
                      <a:prstGeom prst="rect">
                        <a:avLst/>
                      </a:prstGeom>
                    </pic:spPr>
                  </pic:pic>
                  <wps:wsp>
                    <wps:cNvPr id="172385" name="Shape 172385"/>
                    <wps:cNvSpPr/>
                    <wps:spPr>
                      <a:xfrm>
                        <a:off x="0" y="8058734"/>
                        <a:ext cx="5726558" cy="12497"/>
                      </a:xfrm>
                      <a:custGeom>
                        <a:pathLst>
                          <a:path w="5726558" h="12497">
                            <a:moveTo>
                              <a:pt x="0" y="0"/>
                            </a:moveTo>
                            <a:lnTo>
                              <a:pt x="5726558" y="0"/>
                            </a:lnTo>
                            <a:lnTo>
                              <a:pt x="5726558" y="12497"/>
                            </a:lnTo>
                            <a:lnTo>
                              <a:pt x="0" y="12497"/>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spacing w:before="0" w:after="3" w:line="259" w:lineRule="auto"/>
        <w:ind w:left="-5" w:right="0"/>
        <w:jc w:val="left"/>
      </w:pPr>
      <w:r>
        <w:rPr>
          <w:rFonts w:cs="Calibri" w:hAnsi="Calibri" w:eastAsia="Calibri" w:ascii="Calibri"/>
          <w:b w:val="1"/>
          <w:sz w:val="20"/>
          <w:u w:val="single" w:color="000000"/>
        </w:rPr>
        <w:t xml:space="preserve">Agreed by (Government of Tanzania):</w:t>
      </w:r>
      <w:r>
        <w:rPr>
          <w:rFonts w:cs="Calibri" w:hAnsi="Calibri" w:eastAsia="Calibri" w:ascii="Calibri"/>
          <w:b w:val="1"/>
          <w:sz w:val="20"/>
        </w:rPr>
        <w:t xml:space="preserve"> </w:t>
      </w:r>
    </w:p>
    <w:p>
      <w:pPr>
        <w:pStyle w:val="heading4"/>
        <w:spacing w:before="0" w:after="98" w:line="259" w:lineRule="auto"/>
        <w:ind w:left="0" w:firstLine="0"/>
        <w:jc w:val="right"/>
      </w:pPr>
      <w:r>
        <w:rPr/>
        <w:t xml:space="preserve">ABBREVIATIONS AND ACRONYMS</w:t>
      </w:r>
      <w:r>
        <w:rPr/>
        <w:t xml:space="preserve"> </w:t>
      </w:r>
    </w:p>
    <w:p>
      <w:pPr>
        <w:spacing w:before="0" w:after="81" w:line="259" w:lineRule="auto"/>
        <w:ind w:left="0" w:right="717" w:firstLine="0"/>
        <w:jc w:val="center"/>
      </w:pPr>
      <w:r>
        <w:rPr>
          <w:rFonts w:cs="Calibri" w:hAnsi="Calibri" w:eastAsia="Calibri" w:ascii="Calibri"/>
          <w:b w:val="1"/>
        </w:rPr>
        <w:t xml:space="preserve"> </w:t>
      </w:r>
    </w:p>
    <w:p>
      <w:pPr>
        <w:spacing w:before="0" w:after="2" w:line="259" w:lineRule="auto"/>
        <w:ind w:left="10" w:right="0"/>
      </w:pPr>
      <w:r>
        <w:rPr>
          <w:sz w:val="20"/>
        </w:rPr>
        <w:t xml:space="preserve">BRIDGE</w:t>
      </w:r>
      <w:r>
        <w:rPr>
          <w:sz w:val="20"/>
        </w:rPr>
        <w:t xml:space="preserve">                 </w:t>
      </w:r>
      <w:r>
        <w:rPr>
          <w:sz w:val="20"/>
        </w:rPr>
        <w:t xml:space="preserve">Building Resources in Democracy, Governance and Elections</w:t>
      </w:r>
      <w:r>
        <w:rPr>
          <w:sz w:val="20"/>
        </w:rPr>
        <w:t xml:space="preserve">  </w:t>
      </w:r>
    </w:p>
    <w:tbl>
      <w:tblPr>
        <w:tblStyle w:val="TableGrid"/>
        <w:tblW w:w="6344" w:type="dxa"/>
        <w:tblInd w:w="0" w:type="dxa"/>
        <w:tblCellMar>
          <w:top w:w="0" w:type="dxa"/>
          <w:left w:w="0" w:type="dxa"/>
          <w:bottom w:w="0" w:type="dxa"/>
          <w:right w:w="0" w:type="dxa"/>
        </w:tblCellMar>
      </w:tblPr>
      <w:tblGrid>
        <w:gridCol w:w="720"/>
        <w:gridCol w:w="720"/>
        <w:gridCol w:w="4904"/>
      </w:tblGrid>
      <w:tr>
        <w:trPr>
          <w:trHeight w:val="283"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BCPR</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pPr>
            <w:r>
              <w:rPr>
                <w:sz w:val="20"/>
              </w:rPr>
              <w:t xml:space="preserve">Bureau for Conflict Prevention and Recovery (part of UNDP)</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CCM </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Chama Cha Mapinduzi</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CUF</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Civic United Front</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CIDA</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Canadian International Development Agency</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CR</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Constitutional Review </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CRC</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Constitutional Review Commission</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CSO</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Civil Society Organization</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DDTP </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Deepening</w:t>
            </w:r>
            <w:r>
              <w:rPr>
                <w:sz w:val="20"/>
              </w:rPr>
              <w:t xml:space="preserve"> </w:t>
            </w:r>
            <w:r>
              <w:rPr>
                <w:sz w:val="20"/>
              </w:rPr>
              <w:t xml:space="preserve">Democracy in Tanzania Project</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DFID </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Department for</w:t>
            </w:r>
            <w:r>
              <w:rPr>
                <w:sz w:val="20"/>
              </w:rPr>
              <w:t xml:space="preserve"> </w:t>
            </w:r>
            <w:r>
              <w:rPr>
                <w:sz w:val="20"/>
              </w:rPr>
              <w:t xml:space="preserve">International Development (UK)</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DEP</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Democratic Empowerment Project </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DPs </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Development Partners</w:t>
            </w:r>
            <w:r>
              <w:rPr>
                <w:sz w:val="20"/>
              </w:rPr>
              <w:t xml:space="preserve"> </w:t>
            </w:r>
          </w:p>
        </w:tc>
      </w:tr>
      <w:tr>
        <w:trPr>
          <w:trHeight w:val="30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ECA</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Electoral Cycle Approach</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EMB</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Electoral Management Body</w:t>
            </w:r>
            <w:r>
              <w:rPr>
                <w:sz w:val="20"/>
              </w:rPr>
              <w:t xml:space="preserve"> </w:t>
            </w:r>
          </w:p>
        </w:tc>
      </w:tr>
      <w:tr>
        <w:trPr>
          <w:trHeight w:val="421"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ECA</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Electoral Cycle Approach</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ECS</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Election Cycle Support</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ESP</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Electoral Support Project </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EU</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European Union</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GNU </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Government of National Unity </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JDBF</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Joint Donor Basket Fund</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MDAs</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Ministries, Departments and Agencies</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LTA</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Long Term Agreement</w:t>
            </w:r>
            <w:r>
              <w:rPr>
                <w:sz w:val="20"/>
              </w:rPr>
              <w:t xml:space="preserve"> </w:t>
            </w:r>
          </w:p>
        </w:tc>
      </w:tr>
      <w:tr>
        <w:trPr>
          <w:trHeight w:val="364"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NEC</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National Electoral Commission</w:t>
            </w:r>
            <w:r>
              <w:rPr>
                <w:sz w:val="20"/>
              </w:rPr>
              <w:t xml:space="preserve"> </w:t>
            </w:r>
          </w:p>
        </w:tc>
      </w:tr>
      <w:tr>
        <w:trPr>
          <w:trHeight w:val="365" w:hRule="atLeast"/>
        </w:trPr>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PSC</w:t>
            </w:r>
            <w:r>
              <w:rPr>
                <w:sz w:val="20"/>
              </w:rPr>
              <w:t xml:space="preserve"> </w:t>
            </w:r>
          </w:p>
        </w:tc>
        <w:tc>
          <w:tcPr>
            <w:tcW w:w="720" w:type="dxa"/>
            <w:tcBorders>
              <w:top w:val="nil"/>
              <w:left w:val="nil"/>
              <w:bottom w:val="nil"/>
              <w:right w:val="nil"/>
            </w:tcBorders>
            <w:vAlign w:val="top"/>
          </w:tcPr>
          <w:p>
            <w:pPr>
              <w:spacing w:before="0" w:after="0" w:line="259" w:lineRule="auto"/>
              <w:ind w:left="0" w:right="0" w:firstLine="0"/>
              <w:jc w:val="left"/>
            </w:pP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Project Steering Committee</w:t>
            </w:r>
            <w:r>
              <w:rPr>
                <w:sz w:val="20"/>
              </w:rPr>
              <w:t xml:space="preserve"> </w:t>
            </w:r>
          </w:p>
        </w:tc>
      </w:tr>
      <w:tr>
        <w:trPr>
          <w:trHeight w:val="365" w:hRule="atLeast"/>
        </w:trPr>
        <w:tc>
          <w:tcPr>
            <w:tcW w:w="1440" w:type="dxa"/>
            <w:gridSpan w:val="2"/>
            <w:tcBorders>
              <w:top w:val="nil"/>
              <w:left w:val="nil"/>
              <w:bottom w:val="nil"/>
              <w:right w:val="nil"/>
            </w:tcBorders>
            <w:vAlign w:val="top"/>
          </w:tcPr>
          <w:p>
            <w:pPr>
              <w:spacing w:before="0" w:after="0" w:line="259" w:lineRule="auto"/>
              <w:ind w:left="0" w:right="0" w:firstLine="0"/>
              <w:jc w:val="left"/>
            </w:pPr>
            <w:r>
              <w:rPr>
                <w:sz w:val="20"/>
              </w:rPr>
              <w:t xml:space="preserve">PMT/U</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Project Management Team/Unit</w:t>
            </w:r>
            <w:r>
              <w:rPr>
                <w:sz w:val="20"/>
              </w:rPr>
              <w:t xml:space="preserve"> </w:t>
            </w:r>
          </w:p>
        </w:tc>
      </w:tr>
      <w:tr>
        <w:trPr>
          <w:trHeight w:val="364"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PWDs</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People with</w:t>
            </w:r>
            <w:r>
              <w:rPr>
                <w:sz w:val="20"/>
              </w:rPr>
              <w:t xml:space="preserve"> </w:t>
            </w:r>
            <w:r>
              <w:rPr>
                <w:sz w:val="20"/>
              </w:rPr>
              <w:t xml:space="preserve">Disabilities</w:t>
            </w:r>
            <w:r>
              <w:rPr>
                <w:sz w:val="20"/>
              </w:rPr>
              <w:t xml:space="preserve"> </w:t>
            </w:r>
          </w:p>
        </w:tc>
      </w:tr>
      <w:tr>
        <w:trPr>
          <w:trHeight w:val="364"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RPP</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Registrar of Political Parties</w:t>
            </w:r>
            <w:r>
              <w:rPr>
                <w:sz w:val="20"/>
              </w:rPr>
              <w:t xml:space="preserve"> </w:t>
            </w:r>
          </w:p>
        </w:tc>
      </w:tr>
      <w:tr>
        <w:trPr>
          <w:trHeight w:val="365"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TA</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Technical Assistance/Assistant</w:t>
            </w:r>
            <w:r>
              <w:rPr>
                <w:sz w:val="20"/>
              </w:rPr>
              <w:t xml:space="preserve"> </w:t>
            </w:r>
          </w:p>
        </w:tc>
      </w:tr>
      <w:tr>
        <w:trPr>
          <w:trHeight w:val="364"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TC</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Technical Committee </w:t>
            </w:r>
            <w:r>
              <w:rPr>
                <w:sz w:val="20"/>
              </w:rPr>
              <w:t xml:space="preserve"> </w:t>
            </w:r>
          </w:p>
        </w:tc>
      </w:tr>
      <w:tr>
        <w:trPr>
          <w:trHeight w:val="364"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TPF</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Tanzanian Police Force </w:t>
            </w:r>
            <w:r>
              <w:rPr>
                <w:sz w:val="20"/>
              </w:rPr>
              <w:t xml:space="preserve"> </w:t>
            </w:r>
          </w:p>
        </w:tc>
      </w:tr>
      <w:tr>
        <w:trPr>
          <w:trHeight w:val="365"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UN</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United Nations</w:t>
            </w:r>
            <w:r>
              <w:rPr>
                <w:sz w:val="20"/>
              </w:rPr>
              <w:t xml:space="preserve"> </w:t>
            </w:r>
          </w:p>
        </w:tc>
      </w:tr>
      <w:tr>
        <w:trPr>
          <w:trHeight w:val="365" w:hRule="atLeast"/>
        </w:trPr>
        <w:tc>
          <w:tcPr>
            <w:tcW w:w="1440" w:type="dxa"/>
            <w:gridSpan w:val="2"/>
            <w:tcBorders>
              <w:top w:val="nil"/>
              <w:left w:val="nil"/>
              <w:bottom w:val="nil"/>
              <w:right w:val="nil"/>
            </w:tcBorders>
            <w:vAlign w:val="top"/>
          </w:tcPr>
          <w:p>
            <w:pPr>
              <w:spacing w:before="0" w:after="0" w:line="259" w:lineRule="auto"/>
              <w:ind w:left="0" w:right="0" w:firstLine="0"/>
              <w:jc w:val="left"/>
            </w:pPr>
            <w:r>
              <w:rPr>
                <w:sz w:val="20"/>
              </w:rPr>
              <w:t xml:space="preserve">UNDAP</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UN Development Assistance Plan</w:t>
            </w:r>
            <w:r>
              <w:rPr>
                <w:sz w:val="20"/>
              </w:rPr>
              <w:t xml:space="preserve"> </w:t>
            </w:r>
          </w:p>
        </w:tc>
      </w:tr>
      <w:tr>
        <w:trPr>
          <w:trHeight w:val="284" w:hRule="atLeast"/>
        </w:trPr>
        <w:tc>
          <w:tcPr>
            <w:tcW w:w="1440" w:type="dxa"/>
            <w:gridSpan w:val="2"/>
            <w:tcBorders>
              <w:top w:val="nil"/>
              <w:left w:val="nil"/>
              <w:bottom w:val="nil"/>
              <w:right w:val="nil"/>
            </w:tcBorders>
            <w:vAlign w:val="top"/>
          </w:tcPr>
          <w:p>
            <w:pPr>
              <w:tabs>
                <w:tab w:val="center" w:pos="720"/>
              </w:tabs>
              <w:spacing w:before="0" w:after="0" w:line="259" w:lineRule="auto"/>
              <w:ind w:left="0" w:right="0" w:firstLine="0"/>
              <w:jc w:val="left"/>
            </w:pPr>
            <w:r>
              <w:rPr>
                <w:sz w:val="20"/>
              </w:rPr>
              <w:t xml:space="preserve">ZEC</w:t>
            </w:r>
            <w:r>
              <w:rPr>
                <w:sz w:val="20"/>
              </w:rPr>
              <w:t xml:space="preserve"> 	 </w:t>
            </w:r>
          </w:p>
        </w:tc>
        <w:tc>
          <w:tcPr>
            <w:tcW w:w="4904" w:type="dxa"/>
            <w:tcBorders>
              <w:top w:val="nil"/>
              <w:left w:val="nil"/>
              <w:bottom w:val="nil"/>
              <w:right w:val="nil"/>
            </w:tcBorders>
            <w:vAlign w:val="top"/>
          </w:tcPr>
          <w:p>
            <w:pPr>
              <w:spacing w:before="0" w:after="0" w:line="259" w:lineRule="auto"/>
              <w:ind w:left="0" w:right="0" w:firstLine="0"/>
              <w:jc w:val="left"/>
            </w:pPr>
            <w:r>
              <w:rPr>
                <w:sz w:val="20"/>
              </w:rPr>
              <w:t xml:space="preserve">Zanzibar Electoral Commission</w:t>
            </w:r>
            <w:r>
              <w:rPr>
                <w:sz w:val="20"/>
              </w:rPr>
              <w:t xml:space="preserve"> </w:t>
            </w:r>
          </w:p>
        </w:tc>
      </w:tr>
    </w:tbl>
    <w:p>
      <w:pPr>
        <w:tabs>
          <w:tab w:val="center" w:pos="720"/>
          <w:tab w:val="center" w:pos="1440"/>
          <w:tab w:val="center" w:pos="2161"/>
          <w:tab w:val="center" w:pos="3765"/>
        </w:tabs>
        <w:spacing w:before="0" w:after="3" w:line="259" w:lineRule="auto"/>
        <w:ind w:left="0" w:right="0" w:firstLine="0"/>
        <w:jc w:val="left"/>
      </w:pPr>
      <w:r>
        <w:rPr>
          <w:rFonts w:cs="Calibri" w:hAnsi="Calibri" w:eastAsia="Calibri" w:ascii="Calibri"/>
          <w:sz w:val="22"/>
        </w:rPr>
        <w:t xml:space="preserve">	</w:t>
      </w:r>
      <w:r>
        <w:rPr>
          <w:rFonts w:cs="Calibri" w:hAnsi="Calibri" w:eastAsia="Calibri" w:ascii="Calibri"/>
          <w:b w:val="1"/>
        </w:rPr>
        <w:t xml:space="preserve"> 	 	 	</w:t>
      </w:r>
      <w:r>
        <w:rPr>
          <w:rFonts w:cs="Calibri" w:hAnsi="Calibri" w:eastAsia="Calibri" w:ascii="Calibri"/>
          <w:b w:val="1"/>
          <w:sz w:val="20"/>
          <w:u w:val="single" w:color="000000"/>
        </w:rPr>
        <w:t xml:space="preserve"> </w:t>
      </w:r>
      <w:r>
        <w:rPr>
          <w:rFonts w:cs="Calibri" w:hAnsi="Calibri" w:eastAsia="Calibri" w:ascii="Calibri"/>
          <w:b w:val="1"/>
          <w:sz w:val="20"/>
          <w:u w:val="single" w:color="000000"/>
        </w:rPr>
        <w:t xml:space="preserve">TABLE OF CONTENTS</w:t>
      </w:r>
      <w:r>
        <w:rPr>
          <w:rFonts w:cs="Calibri" w:hAnsi="Calibri" w:eastAsia="Calibri" w:ascii="Calibri"/>
          <w:b w:val="1"/>
          <w:sz w:val="20"/>
        </w:rPr>
        <w:t xml:space="preserve"> </w:t>
      </w:r>
    </w:p>
    <w:p>
      <w:pPr>
        <w:numPr>
          <w:ilvl w:val="0"/>
          <w:numId w:val="1"/>
        </w:numPr>
        <w:spacing w:before="0" w:after="348" w:line="265" w:lineRule="auto"/>
        <w:ind w:left="720" w:right="0" w:hanging="720"/>
        <w:jc w:val="left"/>
      </w:pPr>
      <w:r>
        <w:rPr>
          <w:rFonts w:cs="Calibri" w:hAnsi="Calibri" w:eastAsia="Calibri" w:ascii="Calibri"/>
          <w:b w:val="1"/>
          <w:sz w:val="20"/>
        </w:rPr>
        <w:t xml:space="preserve">INTRODUCTION</w:t>
      </w:r>
      <w:r>
        <w:rPr>
          <w:rFonts w:cs="Calibri" w:hAnsi="Calibri" w:eastAsia="Calibri" w:ascii="Calibri"/>
          <w:b w:val="1"/>
          <w:sz w:val="20"/>
        </w:rPr>
        <w:t xml:space="preserve">................................................................................................................9</w:t>
      </w:r>
      <w:r>
        <w:rPr>
          <w:rFonts w:cs="Calibri" w:hAnsi="Calibri" w:eastAsia="Calibri" w:ascii="Calibri"/>
          <w:b w:val="1"/>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SITUATIONAL ANALYSIS</w:t>
      </w:r>
      <w:r>
        <w:rPr>
          <w:rFonts w:cs="Calibri" w:hAnsi="Calibri" w:eastAsia="Calibri" w:ascii="Calibri"/>
          <w:b w:val="1"/>
          <w:sz w:val="20"/>
        </w:rPr>
        <w:t xml:space="preserve">........................................................................................................12</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Country Profile</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12</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Background</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12</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Sector Context</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14</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Assessing the Electoral Landscape and Electoral Stakeholders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15</w:t>
      </w:r>
      <w:r>
        <w:rPr>
          <w:rFonts w:cs="Calibri" w:hAnsi="Calibri" w:eastAsia="Calibri" w:ascii="Calibri"/>
          <w:b w:val="1"/>
          <w:sz w:val="20"/>
        </w:rPr>
        <w:t xml:space="preserve"> </w:t>
      </w:r>
    </w:p>
    <w:p>
      <w:pPr>
        <w:numPr>
          <w:ilvl w:val="1"/>
          <w:numId w:val="1"/>
        </w:numPr>
        <w:spacing w:before="0" w:after="337" w:line="265" w:lineRule="auto"/>
        <w:ind w:left="1159" w:right="0" w:hanging="439"/>
        <w:jc w:val="left"/>
      </w:pPr>
      <w:r>
        <w:rPr>
          <w:rFonts w:cs="Calibri" w:hAnsi="Calibri" w:eastAsia="Calibri" w:ascii="Calibri"/>
          <w:b w:val="1"/>
          <w:sz w:val="20"/>
        </w:rPr>
        <w:t xml:space="preserve">The Role of the United Nations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16</w:t>
      </w:r>
      <w:r>
        <w:rPr>
          <w:rFonts w:cs="Calibri" w:hAnsi="Calibri" w:eastAsia="Calibri" w:ascii="Calibri"/>
          <w:b w:val="1"/>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PROJECT STRATEGY</w:t>
      </w:r>
      <w:r>
        <w:rPr>
          <w:rFonts w:cs="Calibri" w:hAnsi="Calibri" w:eastAsia="Calibri" w:ascii="Calibri"/>
          <w:b w:val="1"/>
          <w:sz w:val="20"/>
        </w:rPr>
        <w:t xml:space="preserve"> </w:t>
      </w:r>
      <w:r>
        <w:rPr>
          <w:rFonts w:cs="Calibri" w:hAnsi="Calibri" w:eastAsia="Calibri" w:ascii="Calibri"/>
          <w:b w:val="1"/>
          <w:sz w:val="20"/>
        </w:rPr>
        <w:t xml:space="preserve">AND JUSTIFICATION</w:t>
      </w:r>
      <w:r>
        <w:rPr>
          <w:rFonts w:cs="Calibri" w:hAnsi="Calibri" w:eastAsia="Calibri" w:ascii="Calibri"/>
          <w:b w:val="1"/>
          <w:sz w:val="20"/>
        </w:rPr>
        <w:t xml:space="preserve">....................................................................................... 17</w:t>
      </w:r>
      <w:r>
        <w:rPr>
          <w:rFonts w:cs="Calibri" w:hAnsi="Calibri" w:eastAsia="Calibri" w:ascii="Calibri"/>
          <w:b w:val="1"/>
          <w:sz w:val="20"/>
        </w:rPr>
        <w:t xml:space="preserve"> </w:t>
      </w:r>
    </w:p>
    <w:p>
      <w:pPr>
        <w:numPr>
          <w:ilvl w:val="1"/>
          <w:numId w:val="1"/>
        </w:numPr>
        <w:spacing w:before="0" w:after="0" w:line="265" w:lineRule="auto"/>
        <w:ind w:left="1159" w:right="0" w:hanging="439"/>
        <w:jc w:val="left"/>
      </w:pPr>
      <w:r>
        <w:rPr>
          <w:rFonts w:cs="Calibri" w:hAnsi="Calibri" w:eastAsia="Calibri" w:ascii="Calibri"/>
          <w:b w:val="1"/>
          <w:sz w:val="20"/>
        </w:rPr>
        <w:t xml:space="preserve">Scope</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17</w:t>
      </w:r>
      <w:r>
        <w:rPr>
          <w:rFonts w:cs="Calibri" w:hAnsi="Calibri" w:eastAsia="Calibri" w:ascii="Calibri"/>
          <w:b w:val="1"/>
          <w:sz w:val="20"/>
        </w:rPr>
        <w:t xml:space="preserve"> </w:t>
      </w:r>
    </w:p>
    <w:p>
      <w:pPr>
        <w:spacing w:before="0" w:after="222" w:line="259" w:lineRule="auto"/>
        <w:ind w:left="0" w:right="716" w:firstLine="0"/>
        <w:jc w:val="right"/>
      </w:pPr>
      <w:r>
        <w:rPr>
          <w:rFonts w:cs="Calibri" w:hAnsi="Calibri" w:eastAsia="Calibri" w:ascii="Calibri"/>
          <w:b w:val="1"/>
          <w:sz w:val="20"/>
        </w:rPr>
        <w:t xml:space="preserve">C.1.1. Focused and Systematic Approach</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17</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Using the Electoral Cycle Approach (ECA)</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18</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Justification</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18</w:t>
      </w:r>
      <w:r>
        <w:rPr>
          <w:rFonts w:cs="Calibri" w:hAnsi="Calibri" w:eastAsia="Calibri" w:ascii="Calibri"/>
          <w:b w:val="1"/>
          <w:sz w:val="20"/>
        </w:rPr>
        <w:t xml:space="preserve"> </w:t>
      </w:r>
    </w:p>
    <w:p>
      <w:pPr>
        <w:numPr>
          <w:ilvl w:val="1"/>
          <w:numId w:val="1"/>
        </w:numPr>
        <w:spacing w:before="0" w:after="351" w:line="265" w:lineRule="auto"/>
        <w:ind w:left="1159" w:right="0" w:hanging="439"/>
        <w:jc w:val="left"/>
      </w:pPr>
      <w:r>
        <w:rPr>
          <w:rFonts w:cs="Calibri" w:hAnsi="Calibri" w:eastAsia="Calibri" w:ascii="Calibri"/>
          <w:b w:val="1"/>
          <w:sz w:val="20"/>
        </w:rPr>
        <w:t xml:space="preserve">Partnership Strategy</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19</w:t>
      </w:r>
      <w:r>
        <w:rPr>
          <w:rFonts w:cs="Calibri" w:hAnsi="Calibri" w:eastAsia="Calibri" w:ascii="Calibri"/>
          <w:b w:val="1"/>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PROJECT OBJECTIVES AND OUTPUTS</w:t>
      </w:r>
      <w:r>
        <w:rPr>
          <w:rFonts w:cs="Calibri" w:hAnsi="Calibri" w:eastAsia="Calibri" w:ascii="Calibri"/>
          <w:b w:val="1"/>
          <w:sz w:val="20"/>
        </w:rPr>
        <w:t xml:space="preserve">.....................................................................................16</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Component 1:  Supporting Legal and Institutional Reform for Credible Elections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21</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Component 2:  Support improvement of EMB integrity and management capacities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21</w:t>
      </w:r>
      <w:r>
        <w:rPr>
          <w:rFonts w:cs="Calibri" w:hAnsi="Calibri" w:eastAsia="Calibri" w:ascii="Calibri"/>
          <w:b w:val="1"/>
          <w:sz w:val="20"/>
        </w:rPr>
        <w:t xml:space="preserve"> </w:t>
      </w:r>
    </w:p>
    <w:p>
      <w:pPr>
        <w:spacing w:before="0" w:after="133" w:line="478" w:lineRule="auto"/>
        <w:ind w:left="-5" w:right="0"/>
        <w:jc w:val="left"/>
      </w:pPr>
      <w:r>
        <w:rPr>
          <w:rFonts w:cs="Calibri" w:hAnsi="Calibri" w:eastAsia="Calibri" w:ascii="Calibri"/>
          <w:b w:val="1"/>
          <w:sz w:val="20"/>
        </w:rPr>
        <w:t xml:space="preserve">Component 3:  Promote inclusive participation in political and electoral processes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24</w:t>
      </w:r>
      <w:r>
        <w:rPr>
          <w:rFonts w:cs="Calibri" w:hAnsi="Calibri" w:eastAsia="Calibri" w:ascii="Calibri"/>
          <w:b w:val="1"/>
          <w:sz w:val="20"/>
        </w:rPr>
        <w:t xml:space="preserve"> </w:t>
      </w:r>
      <w:r>
        <w:rPr>
          <w:rFonts w:cs="Calibri" w:hAnsi="Calibri" w:eastAsia="Calibri" w:ascii="Calibri"/>
          <w:b w:val="1"/>
          <w:sz w:val="20"/>
        </w:rPr>
        <w:t xml:space="preserve">Component 4: Support national peace infrastructure to mitigate and resolve election</w:t>
      </w:r>
      <w:r>
        <w:rPr>
          <w:rFonts w:cs="Calibri" w:hAnsi="Calibri" w:eastAsia="Calibri" w:ascii="Calibri"/>
          <w:b w:val="1"/>
          <w:sz w:val="20"/>
        </w:rPr>
        <w:t xml:space="preserve">-</w:t>
      </w:r>
      <w:r>
        <w:rPr>
          <w:rFonts w:cs="Calibri" w:hAnsi="Calibri" w:eastAsia="Calibri" w:ascii="Calibri"/>
          <w:b w:val="1"/>
          <w:sz w:val="20"/>
        </w:rPr>
        <w:t xml:space="preserve">related conflicts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25</w:t>
      </w:r>
      <w:r>
        <w:rPr>
          <w:rFonts w:cs="Calibri" w:hAnsi="Calibri" w:eastAsia="Calibri" w:ascii="Calibri"/>
          <w:b w:val="1"/>
          <w:sz w:val="20"/>
        </w:rPr>
        <w:t xml:space="preserve"> </w:t>
      </w:r>
    </w:p>
    <w:p>
      <w:pPr>
        <w:numPr>
          <w:ilvl w:val="0"/>
          <w:numId w:val="1"/>
        </w:numPr>
        <w:spacing w:before="0" w:after="338" w:line="265" w:lineRule="auto"/>
        <w:ind w:left="720" w:right="0" w:hanging="720"/>
        <w:jc w:val="left"/>
      </w:pPr>
      <w:r>
        <w:rPr>
          <w:rFonts w:cs="Calibri" w:hAnsi="Calibri" w:eastAsia="Calibri" w:ascii="Calibri"/>
          <w:b w:val="1"/>
          <w:sz w:val="20"/>
        </w:rPr>
        <w:t xml:space="preserve">RISK MANAGEMENT MEASURES</w:t>
      </w:r>
      <w:r>
        <w:rPr>
          <w:rFonts w:cs="Calibri" w:hAnsi="Calibri" w:eastAsia="Calibri" w:ascii="Calibri"/>
          <w:b w:val="1"/>
          <w:sz w:val="20"/>
        </w:rPr>
        <w:t xml:space="preserve">............................................................................................22</w:t>
      </w:r>
      <w:r>
        <w:rPr>
          <w:rFonts w:cs="Calibri" w:hAnsi="Calibri" w:eastAsia="Calibri" w:ascii="Calibri"/>
          <w:b w:val="1"/>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MANAGEMENT ARRANGEMENTS</w:t>
      </w:r>
      <w:r>
        <w:rPr>
          <w:rFonts w:cs="Calibri" w:hAnsi="Calibri" w:eastAsia="Calibri" w:ascii="Calibri"/>
          <w:b w:val="1"/>
          <w:sz w:val="20"/>
        </w:rPr>
        <w:t xml:space="preserve">...................................................................................................29</w:t>
      </w:r>
      <w:r>
        <w:rPr>
          <w:rFonts w:cs="Calibri" w:hAnsi="Calibri" w:eastAsia="Calibri" w:ascii="Calibri"/>
          <w:b w:val="1"/>
          <w:sz w:val="20"/>
        </w:rPr>
        <w:t xml:space="preserve"> </w:t>
      </w:r>
    </w:p>
    <w:p>
      <w:pPr>
        <w:numPr>
          <w:ilvl w:val="1"/>
          <w:numId w:val="1"/>
        </w:numPr>
        <w:spacing w:before="0" w:after="216" w:line="265" w:lineRule="auto"/>
        <w:ind w:left="1159" w:right="0" w:hanging="439"/>
        <w:jc w:val="left"/>
      </w:pPr>
      <w:r>
        <w:rPr>
          <w:rFonts w:cs="Calibri" w:hAnsi="Calibri" w:eastAsia="Calibri" w:ascii="Calibri"/>
          <w:b w:val="1"/>
          <w:sz w:val="20"/>
        </w:rPr>
        <w:t xml:space="preserve">Project Management Team (PMT)</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29</w:t>
      </w:r>
      <w:r>
        <w:rPr>
          <w:rFonts w:cs="Calibri" w:hAnsi="Calibri" w:eastAsia="Calibri" w:ascii="Calibri"/>
          <w:b w:val="1"/>
          <w:sz w:val="20"/>
        </w:rPr>
        <w:t xml:space="preserve"> </w:t>
      </w:r>
    </w:p>
    <w:p>
      <w:pPr>
        <w:numPr>
          <w:ilvl w:val="1"/>
          <w:numId w:val="1"/>
        </w:numPr>
        <w:spacing w:before="0" w:after="337" w:line="265" w:lineRule="auto"/>
        <w:ind w:left="1159" w:right="0" w:hanging="439"/>
        <w:jc w:val="left"/>
      </w:pPr>
      <w:r>
        <w:rPr>
          <w:rFonts w:cs="Calibri" w:hAnsi="Calibri" w:eastAsia="Calibri" w:ascii="Calibri"/>
          <w:b w:val="1"/>
          <w:sz w:val="20"/>
        </w:rPr>
        <w:t xml:space="preserve">Implementing Partner</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30</w:t>
      </w:r>
      <w:r>
        <w:rPr>
          <w:rFonts w:cs="Calibri" w:hAnsi="Calibri" w:eastAsia="Calibri" w:ascii="Calibri"/>
          <w:b w:val="1"/>
          <w:sz w:val="20"/>
        </w:rPr>
        <w:t xml:space="preserve"> </w:t>
      </w:r>
    </w:p>
    <w:p>
      <w:pPr>
        <w:numPr>
          <w:ilvl w:val="1"/>
          <w:numId w:val="1"/>
        </w:numPr>
        <w:spacing w:before="0" w:after="2" w:line="595" w:lineRule="auto"/>
        <w:ind w:left="1159" w:right="0" w:hanging="439"/>
        <w:jc w:val="left"/>
      </w:pPr>
      <w:r>
        <w:rPr>
          <w:rFonts w:cs="Calibri" w:hAnsi="Calibri" w:eastAsia="Calibri" w:ascii="Calibri"/>
          <w:b w:val="1"/>
          <w:sz w:val="20"/>
        </w:rPr>
        <w:t xml:space="preserve">PROJECT STEERING</w:t>
      </w:r>
      <w:r>
        <w:rPr>
          <w:rFonts w:cs="Calibri" w:hAnsi="Calibri" w:eastAsia="Calibri" w:ascii="Calibri"/>
          <w:b w:val="1"/>
          <w:sz w:val="20"/>
        </w:rPr>
        <w:t xml:space="preserve"> </w:t>
      </w:r>
      <w:r>
        <w:rPr>
          <w:rFonts w:cs="Calibri" w:hAnsi="Calibri" w:eastAsia="Calibri" w:ascii="Calibri"/>
          <w:b w:val="1"/>
          <w:sz w:val="20"/>
        </w:rPr>
        <w:t xml:space="preserve">COMMITTEE</w:t>
      </w:r>
      <w:r>
        <w:rPr>
          <w:rFonts w:cs="Calibri" w:hAnsi="Calibri" w:eastAsia="Calibri" w:ascii="Calibri"/>
          <w:b w:val="1"/>
          <w:sz w:val="20"/>
        </w:rPr>
        <w:t xml:space="preserve">..................................................................................................31</w:t>
      </w:r>
      <w:r>
        <w:rPr>
          <w:rFonts w:cs="Calibri" w:hAnsi="Calibri" w:eastAsia="Calibri" w:ascii="Calibri"/>
          <w:b w:val="1"/>
          <w:sz w:val="20"/>
        </w:rPr>
        <w:t xml:space="preserve"> </w:t>
      </w:r>
      <w:r>
        <w:rPr>
          <w:rFonts w:cs="Calibri" w:hAnsi="Calibri" w:eastAsia="Calibri" w:ascii="Calibri"/>
          <w:b w:val="1"/>
          <w:sz w:val="20"/>
        </w:rPr>
        <w:t xml:space="preserve">F.5</w:t>
      </w:r>
      <w:r>
        <w:rPr>
          <w:rFonts w:cs="Calibri" w:hAnsi="Calibri" w:eastAsia="Calibri" w:ascii="Calibri"/>
          <w:b w:val="1"/>
          <w:sz w:val="20"/>
        </w:rPr>
        <w:t xml:space="preserve"> </w:t>
      </w:r>
      <w:r>
        <w:rPr>
          <w:rFonts w:cs="Calibri" w:hAnsi="Calibri" w:eastAsia="Calibri" w:ascii="Calibri"/>
          <w:b w:val="1"/>
          <w:sz w:val="20"/>
        </w:rPr>
        <w:t xml:space="preserve">PROJECT ASSURANCE</w:t>
      </w:r>
      <w:r>
        <w:rPr>
          <w:rFonts w:cs="Calibri" w:hAnsi="Calibri" w:eastAsia="Calibri" w:ascii="Calibri"/>
          <w:b w:val="1"/>
          <w:sz w:val="20"/>
        </w:rPr>
        <w:t xml:space="preserve">..................................................................................................................32</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PROJECT ORGANISATIONAL STRUCTURE</w:t>
      </w:r>
      <w:r>
        <w:rPr>
          <w:rFonts w:cs="Calibri" w:hAnsi="Calibri" w:eastAsia="Calibri" w:ascii="Calibri"/>
          <w:b w:val="1"/>
          <w:sz w:val="20"/>
        </w:rPr>
        <w:t xml:space="preserve">............................................................................................34</w:t>
      </w:r>
      <w:r>
        <w:rPr>
          <w:rFonts w:cs="Calibri" w:hAnsi="Calibri" w:eastAsia="Calibri" w:ascii="Calibri"/>
          <w:b w:val="1"/>
          <w:sz w:val="20"/>
        </w:rPr>
        <w:t xml:space="preserve"> </w:t>
      </w:r>
    </w:p>
    <w:p>
      <w:pPr>
        <w:spacing w:before="0" w:after="337" w:line="265" w:lineRule="auto"/>
        <w:ind w:left="-5" w:right="0"/>
        <w:jc w:val="left"/>
      </w:pPr>
      <w:r>
        <w:rPr>
          <w:rFonts w:cs="Calibri" w:hAnsi="Calibri" w:eastAsia="Calibri" w:ascii="Calibri"/>
          <w:b w:val="1"/>
          <w:sz w:val="20"/>
        </w:rPr>
        <w:t xml:space="preserve">F.6 PROJECT REPORTING SCHEDULE</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35</w:t>
      </w:r>
      <w:r>
        <w:rPr>
          <w:rFonts w:cs="Calibri" w:hAnsi="Calibri" w:eastAsia="Calibri" w:ascii="Calibri"/>
          <w:b w:val="1"/>
          <w:color w:val="0000ff"/>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FINANCIAL ARRANGEMENTS</w:t>
      </w:r>
      <w:r>
        <w:rPr>
          <w:rFonts w:cs="Calibri" w:hAnsi="Calibri" w:eastAsia="Calibri" w:ascii="Calibri"/>
          <w:b w:val="1"/>
          <w:sz w:val="20"/>
        </w:rPr>
        <w:t xml:space="preserve">.........................................................................................................36</w:t>
      </w:r>
      <w:r>
        <w:rPr>
          <w:rFonts w:cs="Calibri" w:hAnsi="Calibri" w:eastAsia="Calibri" w:ascii="Calibri"/>
          <w:b w:val="1"/>
          <w:sz w:val="20"/>
        </w:rPr>
        <w:t xml:space="preserve"> </w:t>
      </w:r>
    </w:p>
    <w:p>
      <w:pPr>
        <w:numPr>
          <w:ilvl w:val="1"/>
          <w:numId w:val="1"/>
        </w:numPr>
        <w:spacing w:before="0" w:after="338" w:line="265" w:lineRule="auto"/>
        <w:ind w:left="1159" w:right="0" w:hanging="439"/>
        <w:jc w:val="left"/>
      </w:pPr>
      <w:r>
        <w:rPr>
          <w:rFonts w:cs="Calibri" w:hAnsi="Calibri" w:eastAsia="Calibri" w:ascii="Calibri"/>
          <w:b w:val="1"/>
          <w:sz w:val="20"/>
        </w:rPr>
        <w:t xml:space="preserve">Direct Implementation</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36</w:t>
      </w:r>
      <w:r>
        <w:rPr>
          <w:rFonts w:cs="Calibri" w:hAnsi="Calibri" w:eastAsia="Calibri" w:ascii="Calibri"/>
          <w:b w:val="1"/>
          <w:sz w:val="20"/>
        </w:rPr>
        <w:t xml:space="preserve"> </w:t>
      </w:r>
    </w:p>
    <w:p>
      <w:pPr>
        <w:numPr>
          <w:ilvl w:val="0"/>
          <w:numId w:val="1"/>
        </w:numPr>
        <w:spacing w:before="0" w:after="348" w:line="265" w:lineRule="auto"/>
        <w:ind w:left="720" w:right="0" w:hanging="720"/>
        <w:jc w:val="left"/>
      </w:pPr>
      <w:r>
        <w:rPr>
          <w:rFonts w:cs="Calibri" w:hAnsi="Calibri" w:eastAsia="Calibri" w:ascii="Calibri"/>
          <w:b w:val="1"/>
          <w:sz w:val="20"/>
        </w:rPr>
        <w:t xml:space="preserve">LEGAL CONTEXT</w:t>
      </w:r>
      <w:r>
        <w:rPr>
          <w:rFonts w:cs="Calibri" w:hAnsi="Calibri" w:eastAsia="Calibri" w:ascii="Calibri"/>
          <w:b w:val="1"/>
          <w:sz w:val="20"/>
        </w:rPr>
        <w:t xml:space="preserve">...........................................................................................................................36</w:t>
      </w:r>
      <w:r>
        <w:rPr>
          <w:rFonts w:cs="Calibri" w:hAnsi="Calibri" w:eastAsia="Calibri" w:ascii="Calibri"/>
          <w:b w:val="1"/>
          <w:sz w:val="20"/>
        </w:rPr>
        <w:t xml:space="preserve"> </w:t>
      </w:r>
    </w:p>
    <w:p>
      <w:pPr>
        <w:numPr>
          <w:ilvl w:val="0"/>
          <w:numId w:val="1"/>
        </w:numPr>
        <w:spacing w:before="0" w:after="216" w:line="265" w:lineRule="auto"/>
        <w:ind w:left="720" w:right="0" w:hanging="720"/>
        <w:jc w:val="left"/>
      </w:pPr>
      <w:r>
        <w:rPr>
          <w:rFonts w:cs="Calibri" w:hAnsi="Calibri" w:eastAsia="Calibri" w:ascii="Calibri"/>
          <w:b w:val="1"/>
          <w:sz w:val="20"/>
        </w:rPr>
        <w:t xml:space="preserve">MONITORING AND EVALUATION FRAMEWORK</w:t>
      </w:r>
      <w:r>
        <w:rPr>
          <w:rFonts w:cs="Calibri" w:hAnsi="Calibri" w:eastAsia="Calibri" w:ascii="Calibri"/>
          <w:b w:val="1"/>
          <w:sz w:val="20"/>
        </w:rPr>
        <w:t xml:space="preserve">..................................................................37</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ANNEX i TORs of Key International Postions</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53</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ANNEX ii </w:t>
      </w:r>
      <w:r>
        <w:rPr>
          <w:rFonts w:cs="Calibri" w:hAnsi="Calibri" w:eastAsia="Calibri" w:ascii="Calibri"/>
          <w:b w:val="1"/>
          <w:sz w:val="20"/>
        </w:rPr>
        <w:t xml:space="preserve">2013</w:t>
      </w:r>
      <w:r>
        <w:rPr>
          <w:rFonts w:cs="Calibri" w:hAnsi="Calibri" w:eastAsia="Calibri" w:ascii="Calibri"/>
          <w:b w:val="1"/>
          <w:sz w:val="20"/>
        </w:rPr>
        <w:t xml:space="preserve">-</w:t>
      </w:r>
      <w:r>
        <w:rPr>
          <w:rFonts w:cs="Calibri" w:hAnsi="Calibri" w:eastAsia="Calibri" w:ascii="Calibri"/>
          <w:b w:val="1"/>
          <w:sz w:val="20"/>
        </w:rPr>
        <w:t xml:space="preserve">2016 Results and Resource Framework</w:t>
      </w:r>
      <w:r>
        <w:rPr>
          <w:rFonts w:cs="Calibri" w:hAnsi="Calibri" w:eastAsia="Calibri" w:ascii="Calibri"/>
          <w:b w:val="1"/>
          <w:sz w:val="20"/>
        </w:rPr>
        <w:t xml:space="preserve"> </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54</w:t>
      </w:r>
      <w:r>
        <w:rPr>
          <w:rFonts w:cs="Calibri" w:hAnsi="Calibri" w:eastAsia="Calibri" w:ascii="Calibri"/>
          <w:b w:val="1"/>
          <w:sz w:val="20"/>
        </w:rPr>
        <w:t xml:space="preserve">  </w:t>
      </w:r>
    </w:p>
    <w:p>
      <w:pPr>
        <w:spacing w:before="0" w:after="216" w:line="265" w:lineRule="auto"/>
        <w:ind w:left="-5" w:right="0"/>
        <w:jc w:val="left"/>
      </w:pPr>
      <w:r>
        <w:rPr>
          <w:rFonts w:cs="Calibri" w:hAnsi="Calibri" w:eastAsia="Calibri" w:ascii="Calibri"/>
          <w:b w:val="1"/>
          <w:sz w:val="20"/>
        </w:rPr>
        <w:t xml:space="preserve">ANNEX iii</w:t>
      </w:r>
      <w:r>
        <w:rPr>
          <w:rFonts w:cs="Calibri" w:hAnsi="Calibri" w:eastAsia="Calibri" w:ascii="Calibri"/>
          <w:b w:val="1"/>
          <w:sz w:val="20"/>
        </w:rPr>
        <w:t xml:space="preserve"> </w:t>
      </w:r>
      <w:r>
        <w:rPr>
          <w:rFonts w:cs="Calibri" w:hAnsi="Calibri" w:eastAsia="Calibri" w:ascii="Calibri"/>
          <w:b w:val="1"/>
          <w:sz w:val="20"/>
        </w:rPr>
        <w:t xml:space="preserve">Tanzania post 2012 Elections: Recommendations and lessons learnt</w:t>
      </w:r>
      <w:r>
        <w:rPr>
          <w:rFonts w:cs="Calibri" w:hAnsi="Calibri" w:eastAsia="Calibri" w:ascii="Calibri"/>
          <w:b w:val="1"/>
          <w:sz w:val="20"/>
        </w:rPr>
        <w:t xml:space="preserve">..............................................</w:t>
      </w:r>
      <w:r>
        <w:rPr>
          <w:rFonts w:cs="Calibri" w:hAnsi="Calibri" w:eastAsia="Calibri" w:ascii="Calibri"/>
          <w:b w:val="1"/>
          <w:sz w:val="20"/>
        </w:rPr>
        <w:t xml:space="preserve"> </w:t>
      </w:r>
      <w:r>
        <w:rPr>
          <w:rFonts w:cs="Calibri" w:hAnsi="Calibri" w:eastAsia="Calibri" w:ascii="Calibri"/>
          <w:b w:val="1"/>
          <w:sz w:val="20"/>
        </w:rPr>
        <w:t xml:space="preserve">70</w:t>
      </w:r>
      <w:r>
        <w:rPr>
          <w:rFonts w:cs="Calibri" w:hAnsi="Calibri" w:eastAsia="Calibri" w:ascii="Calibri"/>
          <w:b w:val="1"/>
          <w:sz w:val="20"/>
        </w:rPr>
        <w:t xml:space="preserve">  </w:t>
      </w:r>
    </w:p>
    <w:p>
      <w:pPr>
        <w:spacing w:before="0" w:after="103" w:line="259" w:lineRule="auto"/>
        <w:ind w:left="0" w:right="722" w:firstLine="0"/>
        <w:jc w:val="center"/>
      </w:pPr>
      <w:r>
        <w:rPr>
          <w:rFonts w:cs="Calibri" w:hAnsi="Calibri" w:eastAsia="Calibri" w:ascii="Calibri"/>
          <w:b w:val="1"/>
          <w:sz w:val="20"/>
        </w:rPr>
        <w:t xml:space="preserve"> </w:t>
      </w:r>
    </w:p>
    <w:p>
      <w:pPr>
        <w:spacing w:before="0" w:after="0" w:line="259" w:lineRule="auto"/>
        <w:ind w:left="720" w:right="0" w:firstLine="0"/>
        <w:jc w:val="left"/>
      </w:pPr>
      <w:r>
        <w:rPr>
          <w:rFonts w:cs="Calibri" w:hAnsi="Calibri" w:eastAsia="Calibri" w:ascii="Calibri"/>
          <w:b w:val="1"/>
          <w:sz w:val="20"/>
        </w:rPr>
        <w:t xml:space="preserve"> </w:t>
      </w:r>
    </w:p>
    <w:p>
      <w:pPr>
        <w:spacing w:before="0" w:after="217" w:line="259" w:lineRule="auto"/>
        <w:ind w:left="0" w:right="0" w:firstLine="0"/>
        <w:jc w:val="left"/>
      </w:pPr>
      <w:r>
        <w:rPr>
          <w:rFonts w:cs="Calibri" w:hAnsi="Calibri" w:eastAsia="Calibri" w:ascii="Calibri"/>
          <w:b w:val="1"/>
          <w:sz w:val="20"/>
        </w:rPr>
        <w:t xml:space="preserve"> </w:t>
      </w:r>
    </w:p>
    <w:p>
      <w:pPr>
        <w:spacing w:before="0" w:after="0" w:line="259" w:lineRule="auto"/>
        <w:ind w:left="0" w:right="0" w:firstLine="0"/>
        <w:jc w:val="left"/>
      </w:pPr>
      <w:r>
        <w:rPr>
          <w:rFonts w:cs="Calibri" w:hAnsi="Calibri" w:eastAsia="Calibri" w:ascii="Calibri"/>
          <w:b w:val="1"/>
          <w:sz w:val="20"/>
        </w:rPr>
        <w:t xml:space="preserve"> </w:t>
      </w:r>
      <w:r>
        <w:br w:type="page"/>
      </w:r>
    </w:p>
    <w:p>
      <w:pPr>
        <w:pStyle w:val="heading1"/>
        <w:spacing w:before="0" w:after="215" w:line="259" w:lineRule="auto"/>
        <w:ind w:left="-4" w:right="0"/>
      </w:pPr>
      <w:r>
        <w:rPr/>
        <w:t xml:space="preserve">INTRODUCTION</w:t>
      </w:r>
      <w:r>
        <w:rPr/>
        <w:t xml:space="preserve"> </w:t>
      </w:r>
    </w:p>
    <w:p>
      <w:pPr>
        <w:pStyle w:val="normal"/>
        <w:spacing w:before="0" w:after="112" w:line="248" w:lineRule="auto"/>
        <w:ind w:left="-5" w:right="754"/>
      </w:pPr>
      <w:r>
        <w:rPr/>
        <w:t xml:space="preserve">UNDP in Tanzania is committed to long term, sustainable support to democratic development in Tanzania through the full 5 year election cycle, including support to key democratic institutions and processes. These include the two election management bodies, NEC and ZEC, in their responsibilities to plan for, organize and carry out general elections every five years. UNDP partnerships with NEC and ZEC and other national partners are well established based on previous support provided through the five year periods: 2000</w:t>
      </w:r>
      <w:r>
        <w:rPr/>
        <w:t xml:space="preserve">-</w:t>
      </w:r>
      <w:r>
        <w:rPr/>
        <w:t xml:space="preserve">2005 and 2005</w:t>
      </w:r>
      <w:r>
        <w:rPr/>
        <w:t xml:space="preserve">-</w:t>
      </w:r>
      <w:r>
        <w:rPr/>
        <w:t xml:space="preserve">2010. This election cycle support approach is in recognition that free and fair elections are only one element of democratic development and democratic practice. Along with the EMBs, support has been requested and can be usefully provided to other key actor</w:t>
      </w:r>
      <w:r>
        <w:rPr/>
        <w:t xml:space="preserve">’</w:t>
      </w:r>
      <w:r>
        <w:rPr/>
        <w:t xml:space="preserve">s including the Registrar of Political Parties, the Political Parties, the Constitution Review Commission, Judiciary, Police</w:t>
      </w:r>
      <w:r>
        <w:rPr/>
        <w:t xml:space="preserve">,</w:t>
      </w:r>
      <w:r>
        <w:rPr/>
        <w:t xml:space="preserve"> </w:t>
      </w:r>
      <w:r>
        <w:rPr/>
        <w:t xml:space="preserve">the Media</w:t>
      </w:r>
      <w:r>
        <w:rPr/>
        <w:t xml:space="preserve">,</w:t>
      </w:r>
      <w:r>
        <w:rPr/>
        <w:t xml:space="preserve"> </w:t>
      </w:r>
      <w:r>
        <w:rPr/>
        <w:t xml:space="preserve">and Civil Society Organizations</w:t>
      </w:r>
      <w:r>
        <w:rPr/>
        <w:t xml:space="preserve"> </w:t>
      </w:r>
      <w:r>
        <w:rPr/>
        <w:t xml:space="preserve">(CSOs).  Unlike its predecessor, the</w:t>
      </w:r>
      <w:r>
        <w:rPr/>
        <w:t xml:space="preserve"> </w:t>
      </w:r>
      <w:r>
        <w:rPr/>
        <w:t xml:space="preserve">Electoral Support Project, the new project will support Political Parties,</w:t>
      </w:r>
      <w:r>
        <w:rPr/>
        <w:t xml:space="preserve"> </w:t>
      </w:r>
      <w:r>
        <w:rPr/>
        <w:t xml:space="preserve">Civil Society, and the Media in terms of their interface with the electoral process, such as strengthening political party efforts to promote inclusive participation for women, youth and people with disabilities (PWDs</w:t>
      </w:r>
      <w:r>
        <w:rPr/>
        <w:t xml:space="preserve">_ </w:t>
      </w:r>
      <w:r>
        <w:rPr/>
        <w:t xml:space="preserve">within political party structures and also their nomination to elective public offices; Civil Society to undertake joint voter education and conflict management programmes with the EMBs; and Media support to collaborate with the EMBs on voter education and peace building. </w:t>
      </w:r>
      <w:r>
        <w:rPr/>
        <w:t xml:space="preserve"> </w:t>
      </w:r>
    </w:p>
    <w:p>
      <w:pPr>
        <w:pStyle w:val="normal"/>
        <w:spacing w:before="0" w:after="109" w:line="248" w:lineRule="auto"/>
        <w:ind w:left="-5" w:right="754"/>
      </w:pPr>
      <w:r>
        <w:rPr/>
        <w:t xml:space="preserve">The DEP is informed by the UNDAP (2011</w:t>
      </w:r>
      <w:r>
        <w:rPr/>
        <w:t xml:space="preserve">-</w:t>
      </w:r>
      <w:r>
        <w:rPr/>
        <w:t xml:space="preserve">2015) which predicates  support on the electoral cycle approach (ECA) saying: “</w:t>
      </w:r>
      <w:r>
        <w:rPr>
          <w:rFonts w:cs="Calibri" w:hAnsi="Calibri" w:eastAsia="Calibri" w:ascii="Calibri"/>
          <w:i w:val="1"/>
        </w:rPr>
        <w:t xml:space="preserve">further modernized election management bodies will help ensure greater citizen informed participation in elections, especially participation of women, youth</w:t>
      </w:r>
      <w:r>
        <w:rPr>
          <w:rFonts w:cs="Calibri" w:hAnsi="Calibri" w:eastAsia="Calibri" w:ascii="Calibri"/>
          <w:i w:val="1"/>
        </w:rPr>
        <w:t xml:space="preserve"> </w:t>
      </w:r>
      <w:r>
        <w:rPr>
          <w:rFonts w:cs="Calibri" w:hAnsi="Calibri" w:eastAsia="Calibri" w:ascii="Calibri"/>
          <w:i w:val="1"/>
        </w:rPr>
        <w:t xml:space="preserve">and marginalized groups. Non</w:t>
      </w:r>
      <w:r>
        <w:rPr>
          <w:rFonts w:cs="Calibri" w:hAnsi="Calibri" w:eastAsia="Calibri" w:ascii="Calibri"/>
          <w:i w:val="1"/>
        </w:rPr>
        <w:t xml:space="preserve">-</w:t>
      </w:r>
      <w:r>
        <w:rPr>
          <w:rFonts w:cs="Calibri" w:hAnsi="Calibri" w:eastAsia="Calibri" w:ascii="Calibri"/>
          <w:i w:val="1"/>
        </w:rPr>
        <w:t xml:space="preserve">partisan support will be provided to political parties to modernize, open to the leadership of women and greater internal democracy”.  </w:t>
      </w:r>
      <w:r>
        <w:rPr/>
        <w:t xml:space="preserve">Beyond support to the EMB and Political Parties in relation to their respective role of contributing to democratic elections, DEP will support the Police and Judiciary to foster increased election security and integrity, respectively, and with Civil Society, Political Parties, Media and Registrar of Political Parties to promote a democratic environment in the country.</w:t>
      </w:r>
      <w:r>
        <w:rPr/>
        <w:t xml:space="preserve"> </w:t>
      </w:r>
    </w:p>
    <w:p>
      <w:pPr>
        <w:pStyle w:val="normal"/>
        <w:spacing w:before="0" w:after="38" w:line="248" w:lineRule="auto"/>
        <w:ind w:left="-5" w:right="754"/>
      </w:pPr>
      <w:r>
        <w:rPr/>
        <w:t xml:space="preserve">The</w:t>
      </w:r>
      <w:r>
        <w:rPr/>
        <w:t xml:space="preserve"> </w:t>
      </w:r>
      <w:r>
        <w:rPr/>
        <w:t xml:space="preserve">independent evaluation of the most recent election cycle support, the UNDP Deepening Democracy Project (2006</w:t>
      </w:r>
      <w:r>
        <w:rPr/>
        <w:t xml:space="preserve">-</w:t>
      </w:r>
      <w:r>
        <w:rPr/>
        <w:t xml:space="preserve">2010), and the independent evaluation of the UNDP Election Support Project (ESP 2009</w:t>
      </w:r>
      <w:r>
        <w:rPr/>
        <w:t xml:space="preserve">-</w:t>
      </w:r>
      <w:r>
        <w:rPr/>
        <w:t xml:space="preserve">2011) confirmed the wisdom and value of an election cycle support approach and further identified and recommended specific areas of support and focus for the DEP.  </w:t>
      </w:r>
      <w:r>
        <w:rPr/>
        <w:t xml:space="preserve"> </w:t>
      </w:r>
    </w:p>
    <w:p>
      <w:pPr>
        <w:pStyle w:val="normal"/>
        <w:numPr>
          <w:ilvl w:val="0"/>
          <w:numId w:val="2"/>
        </w:numPr>
        <w:spacing w:before="0" w:after="38" w:line="248" w:lineRule="auto"/>
        <w:ind w:left="401" w:right="754" w:hanging="401"/>
      </w:pPr>
      <w:r>
        <w:rPr/>
        <w:t xml:space="preserve">There is need to address the entire electoral cycle in the support for an uninterrupted and sustained approach</w:t>
      </w:r>
      <w:r>
        <w:rPr/>
        <w:t xml:space="preserve"> (</w:t>
      </w:r>
      <w:r>
        <w:rPr/>
        <w:t xml:space="preserve">Deepening Democracy in Tanzania Project </w:t>
      </w:r>
      <w:r>
        <w:rPr/>
        <w:t xml:space="preserve">- </w:t>
      </w:r>
      <w:r>
        <w:rPr/>
        <w:t xml:space="preserve">DDTP)</w:t>
      </w:r>
      <w:r>
        <w:rPr/>
        <w:t xml:space="preserve"> </w:t>
      </w:r>
    </w:p>
    <w:p>
      <w:pPr>
        <w:pStyle w:val="normal"/>
        <w:numPr>
          <w:ilvl w:val="0"/>
          <w:numId w:val="2"/>
        </w:numPr>
        <w:spacing w:before="0" w:after="36" w:line="248" w:lineRule="auto"/>
        <w:ind w:left="401" w:right="754" w:hanging="401"/>
      </w:pPr>
      <w:r>
        <w:rPr/>
        <w:t xml:space="preserve">Any electoral cycle process embraces activities including voter education, legal and constitutional reform, engagement with political parties</w:t>
      </w:r>
      <w:r>
        <w:rPr/>
        <w:t xml:space="preserve"> </w:t>
      </w:r>
      <w:r>
        <w:rPr/>
        <w:t xml:space="preserve">(DDTP)</w:t>
      </w:r>
      <w:r>
        <w:rPr/>
        <w:t xml:space="preserve"> </w:t>
      </w:r>
    </w:p>
    <w:p>
      <w:pPr>
        <w:pStyle w:val="normal"/>
        <w:numPr>
          <w:ilvl w:val="0"/>
          <w:numId w:val="2"/>
        </w:numPr>
        <w:spacing w:before="0" w:after="3" w:line="248" w:lineRule="auto"/>
        <w:ind w:left="401" w:right="754" w:hanging="401"/>
      </w:pPr>
      <w:r>
        <w:rPr/>
        <w:t xml:space="preserve">A robust project management support structure is needed (DDTP)</w:t>
      </w:r>
      <w:r>
        <w:rPr/>
        <w:t xml:space="preserve"> </w:t>
      </w:r>
    </w:p>
    <w:p>
      <w:pPr>
        <w:pStyle w:val="normal"/>
        <w:numPr>
          <w:ilvl w:val="0"/>
          <w:numId w:val="2"/>
        </w:numPr>
        <w:spacing w:before="0" w:after="3" w:line="248" w:lineRule="auto"/>
        <w:ind w:left="401" w:right="754" w:hanging="401"/>
      </w:pPr>
      <w:r>
        <w:rPr/>
        <w:t xml:space="preserve">Voter education should have started earlier</w:t>
      </w:r>
      <w:r>
        <w:rPr/>
        <w:t xml:space="preserve"> </w:t>
      </w:r>
      <w:r>
        <w:rPr/>
        <w:t xml:space="preserve">(ESP)</w:t>
      </w:r>
      <w:r>
        <w:rPr/>
        <w:t xml:space="preserve"> </w:t>
      </w:r>
    </w:p>
    <w:p>
      <w:pPr>
        <w:pStyle w:val="normal"/>
        <w:numPr>
          <w:ilvl w:val="0"/>
          <w:numId w:val="2"/>
        </w:numPr>
        <w:spacing w:before="0" w:after="38" w:line="248" w:lineRule="auto"/>
        <w:ind w:left="401" w:right="754" w:hanging="401"/>
      </w:pPr>
      <w:r>
        <w:rPr/>
        <w:t xml:space="preserve">Sensitization of political parties, community and religious leaders to gender issues should commence at least 3 months prior to internal nomination of candidates and at least 6 months before elections (ESP)</w:t>
      </w:r>
      <w:r>
        <w:rPr/>
        <w:t xml:space="preserve"> </w:t>
      </w:r>
    </w:p>
    <w:p>
      <w:pPr>
        <w:pStyle w:val="normal"/>
        <w:numPr>
          <w:ilvl w:val="0"/>
          <w:numId w:val="2"/>
        </w:numPr>
        <w:spacing w:before="0" w:after="3" w:line="248" w:lineRule="auto"/>
        <w:ind w:left="401" w:right="754" w:hanging="401"/>
      </w:pPr>
      <w:r>
        <w:rPr/>
        <w:t xml:space="preserve">Potential female candidates should be trained prior to embarking on their campaigns</w:t>
      </w:r>
      <w:r>
        <w:rPr/>
        <w:t xml:space="preserve"> </w:t>
      </w:r>
      <w:r>
        <w:rPr/>
        <w:t xml:space="preserve">(ESP)</w:t>
      </w:r>
      <w:r>
        <w:rPr/>
        <w:t xml:space="preserve"> </w:t>
      </w:r>
    </w:p>
    <w:p>
      <w:pPr>
        <w:pStyle w:val="normal"/>
        <w:numPr>
          <w:ilvl w:val="0"/>
          <w:numId w:val="2"/>
        </w:numPr>
        <w:spacing w:before="0" w:after="3" w:line="248" w:lineRule="auto"/>
        <w:ind w:left="401" w:right="754" w:hanging="401"/>
      </w:pPr>
      <w:r>
        <w:rPr/>
        <w:t xml:space="preserve">Men should also receive training on the importance of women´s political participation</w:t>
      </w:r>
      <w:r>
        <w:rPr/>
        <w:t xml:space="preserve"> </w:t>
      </w:r>
      <w:r>
        <w:rPr/>
        <w:t xml:space="preserve">(ESP)</w:t>
      </w:r>
      <w:r>
        <w:rPr/>
        <w:t xml:space="preserve"> </w:t>
      </w:r>
    </w:p>
    <w:p>
      <w:pPr>
        <w:pStyle w:val="normal"/>
        <w:numPr>
          <w:ilvl w:val="0"/>
          <w:numId w:val="2"/>
        </w:numPr>
        <w:spacing w:before="0" w:after="3" w:line="248" w:lineRule="auto"/>
        <w:ind w:left="401" w:right="754" w:hanging="401"/>
      </w:pPr>
      <w:r>
        <w:rPr/>
        <w:t xml:space="preserve">Dialogue on peaceful elections should continue throughout the electoral cycle</w:t>
      </w:r>
      <w:r>
        <w:rPr/>
        <w:t xml:space="preserve"> </w:t>
      </w:r>
      <w:r>
        <w:rPr/>
        <w:t xml:space="preserve">(ESP)</w:t>
      </w:r>
      <w:r>
        <w:rPr/>
        <w:t xml:space="preserve"> </w:t>
      </w:r>
    </w:p>
    <w:p>
      <w:pPr>
        <w:spacing w:before="0" w:after="98" w:line="259" w:lineRule="auto"/>
        <w:ind w:left="401" w:right="0" w:firstLine="0"/>
        <w:jc w:val="left"/>
      </w:pPr>
      <w:r>
        <w:rPr/>
        <w:t xml:space="preserve"> </w:t>
      </w:r>
    </w:p>
    <w:p>
      <w:pPr>
        <w:pStyle w:val="normal"/>
        <w:spacing w:before="0" w:after="112" w:line="248" w:lineRule="auto"/>
        <w:ind w:left="-5" w:right="754"/>
      </w:pPr>
      <w:r>
        <w:rPr/>
        <w:t xml:space="preserve">The project is also informed by the findings and recommendations of the past election assessments and observer missions </w:t>
      </w:r>
      <w:r>
        <w:rPr/>
        <w:t xml:space="preserve">– </w:t>
      </w:r>
      <w:r>
        <w:rPr/>
        <w:t xml:space="preserve">the latter are attached as </w:t>
      </w:r>
      <w:r>
        <w:rPr>
          <w:rFonts w:cs="Calibri" w:hAnsi="Calibri" w:eastAsia="Calibri" w:ascii="Calibri"/>
          <w:b w:val="1"/>
        </w:rPr>
        <w:t xml:space="preserve">Annex 1</w:t>
      </w:r>
      <w:r>
        <w:rPr/>
        <w:t xml:space="preserve"> </w:t>
      </w:r>
      <w:r>
        <w:rPr/>
        <w:t xml:space="preserve">to this project document. </w:t>
      </w:r>
      <w:r>
        <w:rPr/>
        <w:t xml:space="preserve"> </w:t>
      </w:r>
    </w:p>
    <w:p>
      <w:pPr>
        <w:pStyle w:val="normal"/>
        <w:spacing w:before="0" w:after="3" w:line="248" w:lineRule="auto"/>
        <w:ind w:left="-5" w:right="754"/>
      </w:pPr>
      <w:r>
        <w:rPr/>
        <w:t xml:space="preserve">The 2010 Observer Missions provided specific suggestions for future</w:t>
      </w:r>
      <w:r>
        <w:rPr/>
        <w:t xml:space="preserve"> </w:t>
      </w:r>
      <w:r>
        <w:rPr/>
        <w:t xml:space="preserve">project attention which have been incorporated into this project document and/or will be addressed in work planning and implementation. Among them:</w:t>
      </w:r>
      <w:r>
        <w:rPr/>
        <w:t xml:space="preserve"> </w:t>
      </w:r>
    </w:p>
    <w:p>
      <w:pPr>
        <w:pStyle w:val="normal"/>
        <w:numPr>
          <w:ilvl w:val="0"/>
          <w:numId w:val="2"/>
        </w:numPr>
        <w:spacing w:before="0" w:after="3" w:line="248" w:lineRule="auto"/>
        <w:ind w:left="401" w:right="754" w:hanging="401"/>
      </w:pPr>
      <w:r>
        <w:rPr/>
        <w:t xml:space="preserve">Improved training of election officials (returning officers, polling clerks) is needed (TACCEO)</w:t>
      </w:r>
      <w:r>
        <w:rPr/>
        <w:t xml:space="preserve"> </w:t>
      </w:r>
    </w:p>
    <w:p>
      <w:pPr>
        <w:pStyle w:val="normal"/>
        <w:numPr>
          <w:ilvl w:val="0"/>
          <w:numId w:val="2"/>
        </w:numPr>
        <w:spacing w:before="0" w:after="3" w:line="248" w:lineRule="auto"/>
        <w:ind w:left="401" w:right="754" w:hanging="401"/>
      </w:pPr>
      <w:r>
        <w:rPr/>
        <w:t xml:space="preserve">NEC training for ICT support to election results timing and management is needed (TACCEO)</w:t>
      </w:r>
      <w:r>
        <w:rPr/>
        <w:t xml:space="preserve"> </w:t>
      </w:r>
    </w:p>
    <w:p>
      <w:pPr>
        <w:pStyle w:val="normal"/>
        <w:numPr>
          <w:ilvl w:val="0"/>
          <w:numId w:val="2"/>
        </w:numPr>
        <w:spacing w:before="0" w:after="3" w:line="248" w:lineRule="auto"/>
        <w:ind w:left="401" w:right="754" w:hanging="401"/>
      </w:pPr>
      <w:r>
        <w:rPr/>
        <w:t xml:space="preserve">Faster, more transparent results management is needed (TACCEO)</w:t>
      </w:r>
      <w:r>
        <w:rPr/>
        <w:t xml:space="preserve"> </w:t>
      </w:r>
    </w:p>
    <w:p>
      <w:pPr>
        <w:pStyle w:val="normal"/>
        <w:numPr>
          <w:ilvl w:val="0"/>
          <w:numId w:val="2"/>
        </w:numPr>
        <w:spacing w:before="0" w:after="3" w:line="248" w:lineRule="auto"/>
        <w:ind w:left="401" w:right="754" w:hanging="401"/>
      </w:pPr>
      <w:r>
        <w:rPr/>
        <w:t xml:space="preserve">NEC could be faster and more transparent in releasing election results (Commonwealth)</w:t>
      </w:r>
      <w:r>
        <w:rPr/>
        <w:t xml:space="preserve"> </w:t>
      </w:r>
    </w:p>
    <w:p>
      <w:pPr>
        <w:pStyle w:val="normal"/>
        <w:numPr>
          <w:ilvl w:val="0"/>
          <w:numId w:val="2"/>
        </w:numPr>
        <w:spacing w:before="0" w:after="3" w:line="248" w:lineRule="auto"/>
        <w:ind w:left="401" w:right="754" w:hanging="401"/>
      </w:pPr>
      <w:r>
        <w:rPr/>
        <w:t xml:space="preserve">More transparency in results</w:t>
      </w:r>
      <w:r>
        <w:rPr/>
        <w:t xml:space="preserve"> </w:t>
      </w:r>
      <w:r>
        <w:rPr/>
        <w:t xml:space="preserve">management would build confidence in elections (EU)</w:t>
      </w:r>
      <w:r>
        <w:rPr/>
        <w:t xml:space="preserve"> </w:t>
      </w:r>
    </w:p>
    <w:p>
      <w:pPr>
        <w:pStyle w:val="normal"/>
        <w:numPr>
          <w:ilvl w:val="0"/>
          <w:numId w:val="2"/>
        </w:numPr>
        <w:spacing w:before="0" w:after="3" w:line="248" w:lineRule="auto"/>
        <w:ind w:left="401" w:right="754" w:hanging="401"/>
      </w:pPr>
      <w:r>
        <w:rPr/>
        <w:t xml:space="preserve">Police training in civics and human rights was a best practice (SADC)</w:t>
      </w:r>
      <w:r>
        <w:rPr/>
        <w:t xml:space="preserve"> </w:t>
      </w:r>
    </w:p>
    <w:p>
      <w:pPr>
        <w:pStyle w:val="normal"/>
        <w:numPr>
          <w:ilvl w:val="0"/>
          <w:numId w:val="2"/>
        </w:numPr>
        <w:spacing w:before="0" w:after="3" w:line="248" w:lineRule="auto"/>
        <w:ind w:left="401" w:right="754" w:hanging="401"/>
      </w:pPr>
      <w:r>
        <w:rPr/>
        <w:t xml:space="preserve">The sms mobile phone system, to check voting information was a best practice (SADC)</w:t>
      </w:r>
      <w:r>
        <w:rPr/>
        <w:t xml:space="preserve"> </w:t>
      </w:r>
    </w:p>
    <w:p>
      <w:pPr>
        <w:pStyle w:val="normal"/>
        <w:numPr>
          <w:ilvl w:val="0"/>
          <w:numId w:val="2"/>
        </w:numPr>
        <w:spacing w:before="0" w:after="3" w:line="248" w:lineRule="auto"/>
        <w:ind w:left="401" w:right="754" w:hanging="401"/>
      </w:pPr>
      <w:r>
        <w:rPr/>
        <w:t xml:space="preserve">NEC and ZEC should have detailed election calendars (EU)</w:t>
      </w:r>
      <w:r>
        <w:rPr/>
        <w:t xml:space="preserve"> </w:t>
      </w:r>
    </w:p>
    <w:p>
      <w:pPr>
        <w:pStyle w:val="normal"/>
        <w:numPr>
          <w:ilvl w:val="0"/>
          <w:numId w:val="2"/>
        </w:numPr>
        <w:spacing w:before="0" w:after="3" w:line="248" w:lineRule="auto"/>
        <w:ind w:left="401" w:right="754" w:hanging="401"/>
      </w:pPr>
      <w:r>
        <w:rPr/>
        <w:t xml:space="preserve">NEC and ZEC should have more information available on their web site and other sources for the public (EU)</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independent evaluation of the ESP also provided</w:t>
      </w:r>
      <w:r>
        <w:rPr/>
        <w:t xml:space="preserve"> </w:t>
      </w:r>
      <w:r>
        <w:rPr/>
        <w:t xml:space="preserve">valuable recommendations on project implementation, especially related to Monitoring and</w:t>
      </w:r>
      <w:r>
        <w:rPr/>
        <w:t xml:space="preserve"> </w:t>
      </w:r>
      <w:r>
        <w:rPr/>
        <w:t xml:space="preserve">Evaluation, risk management, reporting and procurement. These recommendations are fully incorporated into the project approach and will be fully addressed by the project team in start</w:t>
      </w:r>
      <w:r>
        <w:rPr/>
        <w:t xml:space="preserve">-</w:t>
      </w:r>
      <w:r>
        <w:rPr/>
        <w:t xml:space="preserve">up in work planning and implementation. They include:</w:t>
      </w:r>
      <w:r>
        <w:rPr/>
        <w:t xml:space="preserve"> </w:t>
      </w:r>
    </w:p>
    <w:p>
      <w:pPr>
        <w:spacing w:before="0" w:after="24" w:line="259" w:lineRule="auto"/>
        <w:ind w:left="0" w:right="0" w:firstLine="0"/>
        <w:jc w:val="left"/>
      </w:pPr>
      <w:r>
        <w:rPr/>
        <w:t xml:space="preserve"> </w:t>
      </w:r>
    </w:p>
    <w:p>
      <w:pPr>
        <w:pStyle w:val="normal"/>
        <w:numPr>
          <w:ilvl w:val="0"/>
          <w:numId w:val="2"/>
        </w:numPr>
        <w:spacing w:before="0" w:after="3" w:line="248" w:lineRule="auto"/>
        <w:ind w:left="401" w:right="754" w:hanging="401"/>
      </w:pPr>
      <w:r>
        <w:rPr/>
        <w:t xml:space="preserve">An M&amp;E Framework</w:t>
      </w:r>
      <w:r>
        <w:rPr/>
        <w:t xml:space="preserve"> </w:t>
      </w:r>
      <w:r>
        <w:rPr/>
        <w:t xml:space="preserve">should be established at the beginning of implementation</w:t>
      </w:r>
      <w:r>
        <w:rPr/>
        <w:t xml:space="preserve">.</w:t>
      </w:r>
      <w:r>
        <w:rPr/>
        <w:t xml:space="preserve"> </w:t>
      </w:r>
    </w:p>
    <w:p>
      <w:pPr>
        <w:pStyle w:val="normal"/>
        <w:numPr>
          <w:ilvl w:val="0"/>
          <w:numId w:val="2"/>
        </w:numPr>
        <w:spacing w:before="0" w:after="3" w:line="248" w:lineRule="auto"/>
        <w:ind w:left="401" w:right="754" w:hanging="401"/>
      </w:pPr>
      <w:r>
        <w:rPr/>
        <w:t xml:space="preserve">Staff at the component level should use the monitoring and evaluation framework as intended</w:t>
      </w:r>
      <w:r>
        <w:rPr/>
        <w:t xml:space="preserve">.</w:t>
      </w:r>
      <w:r>
        <w:rPr/>
        <w:t xml:space="preserve"> </w:t>
      </w:r>
    </w:p>
    <w:p>
      <w:pPr>
        <w:pStyle w:val="normal"/>
        <w:numPr>
          <w:ilvl w:val="0"/>
          <w:numId w:val="2"/>
        </w:numPr>
        <w:spacing w:before="0" w:after="38" w:line="248" w:lineRule="auto"/>
        <w:ind w:left="401" w:right="754" w:hanging="401"/>
      </w:pPr>
      <w:r>
        <w:rPr/>
        <w:t xml:space="preserve">Baseline data should be established in the initial stages of the project </w:t>
      </w:r>
      <w:r>
        <w:rPr/>
        <w:t xml:space="preserve">– </w:t>
      </w:r>
      <w:r>
        <w:rPr/>
        <w:t xml:space="preserve">many of the targets were abstract</w:t>
      </w:r>
      <w:r>
        <w:rPr/>
        <w:t xml:space="preserve"> </w:t>
      </w:r>
      <w:r>
        <w:rPr/>
        <w:t xml:space="preserve">in the ESP</w:t>
      </w:r>
      <w:r>
        <w:rPr/>
        <w:t xml:space="preserve">.</w:t>
      </w:r>
      <w:r>
        <w:rPr/>
        <w:t xml:space="preserve"> </w:t>
      </w:r>
    </w:p>
    <w:p>
      <w:pPr>
        <w:pStyle w:val="normal"/>
        <w:numPr>
          <w:ilvl w:val="0"/>
          <w:numId w:val="2"/>
        </w:numPr>
        <w:spacing w:before="0" w:after="3" w:line="248" w:lineRule="auto"/>
        <w:ind w:left="401" w:right="754" w:hanging="401"/>
      </w:pPr>
      <w:r>
        <w:rPr/>
        <w:t xml:space="preserve">Results</w:t>
      </w:r>
      <w:r>
        <w:rPr/>
        <w:t xml:space="preserve">-</w:t>
      </w:r>
      <w:r>
        <w:rPr/>
        <w:t xml:space="preserve">based management should be applied at the component level.</w:t>
      </w:r>
      <w:r>
        <w:rPr/>
        <w:t xml:space="preserve"> </w:t>
      </w:r>
    </w:p>
    <w:p>
      <w:pPr>
        <w:pStyle w:val="normal"/>
        <w:numPr>
          <w:ilvl w:val="0"/>
          <w:numId w:val="2"/>
        </w:numPr>
        <w:spacing w:before="0" w:after="3" w:line="248" w:lineRule="auto"/>
        <w:ind w:left="401" w:right="754" w:hanging="401"/>
      </w:pPr>
      <w:r>
        <w:rPr/>
        <w:t xml:space="preserve">There should be a risk management plan for the project</w:t>
      </w:r>
      <w:r>
        <w:rPr/>
        <w:t xml:space="preserve">.</w:t>
      </w:r>
      <w:r>
        <w:rPr/>
        <w:t xml:space="preserve"> </w:t>
      </w:r>
    </w:p>
    <w:p>
      <w:pPr>
        <w:pStyle w:val="normal"/>
        <w:numPr>
          <w:ilvl w:val="0"/>
          <w:numId w:val="2"/>
        </w:numPr>
        <w:spacing w:before="0" w:after="3" w:line="248" w:lineRule="auto"/>
        <w:ind w:left="401" w:right="754" w:hanging="401"/>
      </w:pPr>
      <w:r>
        <w:rPr/>
        <w:t xml:space="preserve">The management products for reporting should be in line</w:t>
      </w:r>
      <w:r>
        <w:rPr/>
        <w:t xml:space="preserve"> </w:t>
      </w:r>
      <w:r>
        <w:rPr/>
        <w:t xml:space="preserve">with a project of this scale</w:t>
      </w:r>
      <w:r>
        <w:rPr/>
        <w:t xml:space="preserve">.</w:t>
      </w:r>
      <w:r>
        <w:rPr/>
        <w:t xml:space="preserve"> </w:t>
      </w:r>
    </w:p>
    <w:p>
      <w:pPr>
        <w:pStyle w:val="normal"/>
        <w:numPr>
          <w:ilvl w:val="0"/>
          <w:numId w:val="2"/>
        </w:numPr>
        <w:spacing w:before="0" w:after="109" w:line="248" w:lineRule="auto"/>
        <w:ind w:left="401" w:right="754" w:hanging="401"/>
      </w:pPr>
      <w:r>
        <w:rPr/>
        <w:t xml:space="preserve">There should be more lead time in order to submit procurement requests and submission of requisitions for them to be filled out appropriately and to develop the appropriate specifications.</w:t>
      </w:r>
      <w:r>
        <w:rPr/>
        <w:t xml:space="preserve"> </w:t>
      </w:r>
    </w:p>
    <w:p>
      <w:pPr>
        <w:pStyle w:val="normal"/>
        <w:spacing w:before="0" w:after="3" w:line="248" w:lineRule="auto"/>
        <w:ind w:left="-5" w:right="754"/>
      </w:pPr>
      <w:r>
        <w:rPr/>
        <w:t xml:space="preserve">The recent EU/DFID mission that assessed the first draft of project</w:t>
      </w:r>
      <w:r>
        <w:rPr/>
        <w:t xml:space="preserve"> </w:t>
      </w:r>
      <w:r>
        <w:rPr/>
        <w:t xml:space="preserve">and the general political landscape in Tanzania during 2012 presented useful views which informed the current version of the DEP.</w:t>
      </w:r>
      <w:r>
        <w:rPr/>
        <w:t xml:space="preserve"> </w:t>
      </w:r>
      <w:r>
        <w:rPr/>
        <w:t xml:space="preserve">Among them</w:t>
      </w:r>
      <w:r>
        <w:rPr/>
        <w:t xml:space="preserve"> </w:t>
      </w:r>
      <w:r>
        <w:rPr/>
        <w:t xml:space="preserve">the value in</w:t>
      </w:r>
      <w:r>
        <w:rPr/>
        <w:t xml:space="preserve">:</w:t>
      </w:r>
      <w:r>
        <w:rPr/>
        <w:t xml:space="preserve"> </w:t>
      </w:r>
    </w:p>
    <w:p>
      <w:pPr>
        <w:spacing w:before="0" w:after="10" w:line="259" w:lineRule="auto"/>
        <w:ind w:left="0" w:right="0" w:firstLine="0"/>
        <w:jc w:val="left"/>
      </w:pPr>
      <w:r>
        <w:rPr>
          <w:rFonts w:cs="Arial" w:hAnsi="Arial" w:eastAsia="Arial" w:ascii="Arial"/>
          <w:sz w:val="24"/>
        </w:rPr>
        <w:t xml:space="preserve"> </w:t>
      </w:r>
    </w:p>
    <w:p>
      <w:pPr>
        <w:numPr>
          <w:ilvl w:val="0"/>
          <w:numId w:val="2"/>
        </w:numPr>
        <w:spacing w:before="0" w:after="34" w:line="239" w:lineRule="auto"/>
        <w:ind w:left="401" w:right="754" w:hanging="401"/>
      </w:pPr>
      <w:r>
        <w:rPr/>
        <w:t xml:space="preserve">The ability (of UNDP) to coordinate efforts through pooled funding; an institutional comparative advantage enabling solid relationships with state national stakeholders; the ability to deliver on electoral assistance, including operational support; and, most importantly, recognised comparative advantages in the areas of capacity development of EMBs. </w:t>
      </w:r>
      <w:r>
        <w:rPr/>
        <w:t xml:space="preserve"> </w:t>
      </w:r>
    </w:p>
    <w:p>
      <w:pPr>
        <w:pStyle w:val="normal"/>
        <w:numPr>
          <w:ilvl w:val="0"/>
          <w:numId w:val="2"/>
        </w:numPr>
        <w:spacing w:before="0" w:after="39" w:line="248" w:lineRule="auto"/>
        <w:ind w:left="401" w:right="754" w:hanging="401"/>
      </w:pPr>
      <w:r>
        <w:rPr/>
        <w:t xml:space="preserve">UNDP and DEP ability to engage UN Women in addressing women representation and other gender mainstreaming issues. </w:t>
      </w:r>
      <w:r>
        <w:rPr/>
        <w:t xml:space="preserve"> </w:t>
      </w:r>
    </w:p>
    <w:p>
      <w:pPr>
        <w:pStyle w:val="normal"/>
        <w:numPr>
          <w:ilvl w:val="0"/>
          <w:numId w:val="2"/>
        </w:numPr>
        <w:spacing w:before="0" w:after="3" w:line="248" w:lineRule="auto"/>
        <w:ind w:left="401" w:right="754" w:hanging="401"/>
      </w:pPr>
      <w:r>
        <w:rPr/>
        <w:t xml:space="preserve">Support to EMBs in addressing broad electoral reform and integrity</w:t>
      </w:r>
      <w:r>
        <w:rPr/>
        <w:t xml:space="preserve">.</w:t>
      </w:r>
      <w:r>
        <w:rPr/>
        <w:t xml:space="preserve">  </w:t>
      </w:r>
    </w:p>
    <w:p>
      <w:pPr>
        <w:pStyle w:val="normal"/>
        <w:numPr>
          <w:ilvl w:val="0"/>
          <w:numId w:val="2"/>
        </w:numPr>
        <w:spacing w:before="0" w:after="3" w:line="248" w:lineRule="auto"/>
        <w:ind w:left="401" w:right="754" w:hanging="401"/>
      </w:pPr>
      <w:r>
        <w:rPr/>
        <w:t xml:space="preserve">Capacity development of the EMBs and support for electoral processes and the referendum.</w:t>
      </w:r>
      <w:r>
        <w:rPr/>
        <w:t xml:space="preserve"> </w:t>
      </w:r>
    </w:p>
    <w:p>
      <w:pPr>
        <w:pStyle w:val="normal"/>
        <w:numPr>
          <w:ilvl w:val="0"/>
          <w:numId w:val="2"/>
        </w:numPr>
        <w:spacing w:before="0" w:after="3" w:line="248" w:lineRule="auto"/>
        <w:ind w:left="401" w:right="754" w:hanging="401"/>
      </w:pPr>
      <w:r>
        <w:rPr/>
        <w:t xml:space="preserve">Enhancing women representation.</w:t>
      </w:r>
      <w:r>
        <w:rPr/>
        <w:t xml:space="preserve"> </w:t>
      </w:r>
    </w:p>
    <w:p>
      <w:pPr>
        <w:pStyle w:val="normal"/>
        <w:numPr>
          <w:ilvl w:val="0"/>
          <w:numId w:val="2"/>
        </w:numPr>
        <w:spacing w:before="0" w:after="3" w:line="248" w:lineRule="auto"/>
        <w:ind w:left="401" w:right="754" w:hanging="401"/>
      </w:pPr>
      <w:r>
        <w:rPr/>
        <w:t xml:space="preserve">Enhancing electoral security.</w:t>
      </w:r>
      <w:r>
        <w:rPr/>
        <w:t xml:space="preserve">  </w:t>
      </w:r>
    </w:p>
    <w:p>
      <w:pPr>
        <w:pStyle w:val="normal"/>
        <w:numPr>
          <w:ilvl w:val="0"/>
          <w:numId w:val="2"/>
        </w:numPr>
        <w:spacing w:before="0" w:after="3" w:line="248" w:lineRule="auto"/>
        <w:ind w:left="401" w:right="754" w:hanging="401"/>
      </w:pPr>
      <w:r>
        <w:rPr/>
        <w:t xml:space="preserve">Timely procurement and distribution. </w:t>
      </w:r>
      <w:r>
        <w:rPr/>
        <w:t xml:space="preserve"> </w:t>
      </w:r>
    </w:p>
    <w:p>
      <w:pPr>
        <w:pStyle w:val="normal"/>
        <w:numPr>
          <w:ilvl w:val="0"/>
          <w:numId w:val="2"/>
        </w:numPr>
        <w:spacing w:before="0" w:after="3" w:line="248" w:lineRule="auto"/>
        <w:ind w:left="401" w:right="754" w:hanging="401"/>
      </w:pPr>
      <w:r>
        <w:rPr/>
        <w:t xml:space="preserve">Solid monitoring and evaluation framework</w:t>
      </w:r>
      <w:r>
        <w:rPr/>
        <w:t xml:space="preserve">.</w:t>
      </w:r>
      <w:r>
        <w:rPr/>
        <w:t xml:space="preserve">  </w:t>
      </w:r>
    </w:p>
    <w:p>
      <w:pPr>
        <w:pStyle w:val="normal"/>
        <w:numPr>
          <w:ilvl w:val="0"/>
          <w:numId w:val="2"/>
        </w:numPr>
        <w:spacing w:before="0" w:after="3" w:line="248" w:lineRule="auto"/>
        <w:ind w:left="401" w:right="754" w:hanging="401"/>
      </w:pPr>
      <w:r>
        <w:rPr/>
        <w:t xml:space="preserve">Making gender mainstreaming and conflict prevention cross</w:t>
      </w:r>
      <w:r>
        <w:rPr/>
        <w:t xml:space="preserve">-</w:t>
      </w:r>
      <w:r>
        <w:rPr/>
        <w:t xml:space="preserve">cutting themes</w:t>
      </w:r>
      <w:r>
        <w:rPr/>
        <w:t xml:space="preserve">.</w:t>
      </w:r>
      <w:r>
        <w:rPr/>
        <w:t xml:space="preserve">  </w:t>
      </w:r>
    </w:p>
    <w:p>
      <w:pPr>
        <w:pStyle w:val="normal"/>
        <w:numPr>
          <w:ilvl w:val="0"/>
          <w:numId w:val="2"/>
        </w:numPr>
        <w:spacing w:before="0" w:after="3" w:line="248" w:lineRule="auto"/>
        <w:ind w:left="401" w:right="754" w:hanging="401"/>
      </w:pPr>
      <w:r>
        <w:rPr/>
        <w:t xml:space="preserve">Planning</w:t>
      </w:r>
      <w:r>
        <w:rPr/>
        <w:t xml:space="preserve"> </w:t>
      </w:r>
      <w:r>
        <w:rPr/>
        <w:t xml:space="preserve">for a quick start</w:t>
      </w:r>
      <w:r>
        <w:rPr/>
        <w:t xml:space="preserve">-</w:t>
      </w:r>
      <w:r>
        <w:rPr/>
        <w:t xml:space="preserve">up and ensure that the necessary structures and systems are in place to avoid any delays in staffing and implementation</w:t>
      </w:r>
      <w:r>
        <w:rPr/>
        <w:t xml:space="preserve">.</w:t>
      </w:r>
      <w:r>
        <w:rPr/>
        <w:t xml:space="preserve">  </w:t>
      </w:r>
    </w:p>
    <w:p>
      <w:pPr>
        <w:spacing w:before="0" w:after="98" w:line="259" w:lineRule="auto"/>
        <w:ind w:left="401" w:right="0" w:firstLine="0"/>
        <w:jc w:val="left"/>
      </w:pPr>
      <w:r>
        <w:rPr/>
        <w:t xml:space="preserve"> </w:t>
      </w:r>
    </w:p>
    <w:p>
      <w:pPr>
        <w:pStyle w:val="normal"/>
        <w:spacing w:before="0" w:after="3" w:line="248" w:lineRule="auto"/>
        <w:ind w:left="-5" w:right="754"/>
      </w:pPr>
      <w:r>
        <w:rPr/>
        <w:t xml:space="preserve">Finally the NAM report which forms the political basis for UNDP’s Electoral support in Tanzania included the following guiding recommendations;</w:t>
      </w:r>
      <w:r>
        <w:rPr/>
        <w:t xml:space="preserve"> </w:t>
      </w:r>
    </w:p>
    <w:p>
      <w:pPr>
        <w:pStyle w:val="normal"/>
        <w:numPr>
          <w:ilvl w:val="1"/>
          <w:numId w:val="2"/>
        </w:numPr>
        <w:spacing w:before="0" w:after="3" w:line="248" w:lineRule="auto"/>
        <w:ind w:left="720" w:right="754" w:hanging="360"/>
      </w:pPr>
      <w:r>
        <w:rPr/>
        <w:t xml:space="preserve">The reformulation of the UNDP Democratic Empowerment Project ( DEP) along the following component lines:</w:t>
      </w:r>
      <w:r>
        <w:rPr/>
        <w:t xml:space="preserve"> </w:t>
      </w:r>
    </w:p>
    <w:p>
      <w:pPr>
        <w:spacing w:before="0" w:after="11" w:line="259" w:lineRule="auto"/>
        <w:ind w:left="0" w:right="0" w:firstLine="0"/>
        <w:jc w:val="left"/>
      </w:pPr>
      <w:r>
        <w:rPr/>
        <w:t xml:space="preserve"> </w:t>
      </w:r>
    </w:p>
    <w:p>
      <w:pPr>
        <w:numPr>
          <w:ilvl w:val="2"/>
          <w:numId w:val="2"/>
        </w:numPr>
        <w:spacing w:before="0" w:after="34" w:line="239" w:lineRule="auto"/>
        <w:ind w:left="1080" w:right="754" w:hanging="360"/>
        <w:jc w:val="left"/>
      </w:pPr>
      <w:r>
        <w:rPr/>
        <w:t xml:space="preserve">Capacity development and support to EMB reforms (legal and institutional reform were identified as a priority need); this support may include strengthening the EMBs’ capacity to effectively  support the constitutional reform  referendum, and assisting the generation of proposals for NEC reform;</w:t>
      </w:r>
      <w:r>
        <w:rPr/>
        <w:t xml:space="preserve"> </w:t>
      </w:r>
    </w:p>
    <w:p>
      <w:pPr>
        <w:pStyle w:val="normal"/>
        <w:numPr>
          <w:ilvl w:val="2"/>
          <w:numId w:val="2"/>
        </w:numPr>
        <w:spacing w:before="0" w:after="25" w:line="248" w:lineRule="auto"/>
        <w:ind w:left="1080" w:right="754" w:hanging="360"/>
        <w:jc w:val="left"/>
      </w:pPr>
      <w:r>
        <w:rPr/>
        <w:t xml:space="preserve">Civic and voter education, and related communication activities, including support to community media, and civil society;</w:t>
      </w:r>
      <w:r>
        <w:rPr/>
        <w:t xml:space="preserve"> </w:t>
      </w:r>
    </w:p>
    <w:p>
      <w:pPr>
        <w:pStyle w:val="normal"/>
        <w:numPr>
          <w:ilvl w:val="2"/>
          <w:numId w:val="2"/>
        </w:numPr>
        <w:spacing w:before="0" w:after="25" w:line="248" w:lineRule="auto"/>
        <w:ind w:left="1080" w:right="754" w:hanging="360"/>
        <w:jc w:val="left"/>
      </w:pPr>
      <w:r>
        <w:rPr/>
        <w:t xml:space="preserve">Support to fostering inclusive participation in elections: targeting women, youth and people with disabilities and rural voters.</w:t>
      </w:r>
      <w:r>
        <w:rPr/>
        <w:t xml:space="preserve"> </w:t>
      </w:r>
    </w:p>
    <w:p>
      <w:pPr>
        <w:numPr>
          <w:ilvl w:val="2"/>
          <w:numId w:val="2"/>
        </w:numPr>
        <w:spacing w:before="0" w:after="34" w:line="239" w:lineRule="auto"/>
        <w:ind w:left="1080" w:right="754" w:hanging="360"/>
        <w:jc w:val="left"/>
      </w:pPr>
      <w:r>
        <w:rPr/>
        <w:t xml:space="preserve">Operational and technical support to EMBs covering various phases of the electoral process: to include voter registration, referendum and the general elections, results management, and observer accreditation and related activities;</w:t>
      </w:r>
      <w:r>
        <w:rPr/>
        <w:t xml:space="preserve"> </w:t>
      </w:r>
    </w:p>
    <w:p>
      <w:pPr>
        <w:pStyle w:val="normal"/>
        <w:numPr>
          <w:ilvl w:val="2"/>
          <w:numId w:val="2"/>
        </w:numPr>
        <w:spacing w:before="0" w:after="26" w:line="248" w:lineRule="auto"/>
        <w:ind w:left="1080" w:right="754" w:hanging="360"/>
        <w:jc w:val="left"/>
      </w:pPr>
      <w:r>
        <w:rPr/>
        <w:t xml:space="preserve">EMB institutional strengthening including staff professional development based on BRIDGE methodology</w:t>
      </w:r>
      <w:r>
        <w:rPr/>
        <w:t xml:space="preserve"> </w:t>
      </w:r>
    </w:p>
    <w:p>
      <w:pPr>
        <w:numPr>
          <w:ilvl w:val="2"/>
          <w:numId w:val="2"/>
        </w:numPr>
        <w:spacing w:before="0" w:after="34" w:line="239" w:lineRule="auto"/>
        <w:ind w:left="1080" w:right="754" w:hanging="360"/>
        <w:jc w:val="left"/>
      </w:pPr>
      <w:r>
        <w:rPr/>
        <w:t xml:space="preserve">Conflict prevention/community dialogues and support to creating a peaceful environment for the elections, including EMB/stakeholder outreach and partnership building, dialogue for peace initiatives, and collaboration with the office of the Registrar of Political Parties and the media;</w:t>
      </w:r>
      <w:r>
        <w:rPr/>
        <w:t xml:space="preserve"> </w:t>
      </w:r>
    </w:p>
    <w:p>
      <w:pPr>
        <w:pStyle w:val="normal"/>
        <w:numPr>
          <w:ilvl w:val="2"/>
          <w:numId w:val="2"/>
        </w:numPr>
        <w:spacing w:before="0" w:after="3" w:line="248" w:lineRule="auto"/>
        <w:ind w:left="1080" w:right="754" w:hanging="360"/>
        <w:jc w:val="left"/>
      </w:pPr>
      <w:r>
        <w:rPr/>
        <w:t xml:space="preserve">Support to election</w:t>
      </w:r>
      <w:r>
        <w:rPr/>
        <w:t xml:space="preserve">-</w:t>
      </w:r>
      <w:r>
        <w:rPr/>
        <w:t xml:space="preserve">related dispute resolution structures.</w:t>
      </w:r>
      <w:r>
        <w:rPr/>
        <w:t xml:space="preserve"> </w:t>
      </w:r>
    </w:p>
    <w:p>
      <w:pPr>
        <w:numPr>
          <w:ilvl w:val="2"/>
          <w:numId w:val="2"/>
        </w:numPr>
        <w:spacing w:before="0" w:after="0" w:line="239" w:lineRule="auto"/>
        <w:ind w:left="1080" w:right="754" w:hanging="360"/>
        <w:jc w:val="left"/>
      </w:pPr>
      <w:r>
        <w:rPr/>
        <w:t xml:space="preserve">Support to political parties in technical areas such as women candidate identification, training women candidates on technical skills, training on election finances, and technical steps in platform development, updating and enforcement of the political parties’</w:t>
      </w:r>
      <w:r>
        <w:rPr/>
        <w:t xml:space="preserve"> </w:t>
      </w:r>
      <w:r>
        <w:rPr/>
        <w:t xml:space="preserve">code of conduct.</w:t>
      </w:r>
      <w:r>
        <w:rPr/>
        <w:t xml:space="preserve"> </w:t>
      </w:r>
    </w:p>
    <w:p>
      <w:pPr>
        <w:spacing w:before="0" w:after="0" w:line="259" w:lineRule="auto"/>
        <w:ind w:left="720" w:right="0" w:firstLine="0"/>
        <w:jc w:val="left"/>
      </w:pPr>
      <w:r>
        <w:rPr/>
        <w:t xml:space="preserve"> </w:t>
      </w:r>
    </w:p>
    <w:p>
      <w:pPr>
        <w:pStyle w:val="normal"/>
        <w:spacing w:before="0" w:after="3" w:line="248" w:lineRule="auto"/>
        <w:ind w:left="730" w:right="754"/>
      </w:pPr>
      <w:r>
        <w:rPr/>
        <w:t xml:space="preserve">The indicated “priority areas” are areas in which, in the view of the Mission, support is required as a matter of urgency </w:t>
      </w:r>
      <w:r>
        <w:rPr/>
        <w:t xml:space="preserve">– </w:t>
      </w:r>
      <w:r>
        <w:rPr/>
        <w:t xml:space="preserve">particularly to help sharpen the proposals already on the ground. Consideration should be given to the development of an “inception plan” to cover this bloc of activities.</w:t>
      </w:r>
      <w:r>
        <w:rPr/>
        <w:t xml:space="preserve"> </w:t>
      </w:r>
    </w:p>
    <w:p>
      <w:pPr>
        <w:spacing w:before="0" w:after="12" w:line="259" w:lineRule="auto"/>
        <w:ind w:left="0" w:right="0" w:firstLine="0"/>
        <w:jc w:val="left"/>
      </w:pPr>
      <w:r>
        <w:rPr/>
        <w:t xml:space="preserve"> </w:t>
      </w:r>
    </w:p>
    <w:p>
      <w:pPr>
        <w:pStyle w:val="normal"/>
        <w:numPr>
          <w:ilvl w:val="1"/>
          <w:numId w:val="2"/>
        </w:numPr>
        <w:spacing w:before="0" w:after="3" w:line="248" w:lineRule="auto"/>
        <w:ind w:left="720" w:right="754" w:hanging="360"/>
      </w:pPr>
      <w:r>
        <w:rPr/>
        <w:t xml:space="preserve">That the reformulated project covers the period 2013 </w:t>
      </w:r>
      <w:r>
        <w:rPr/>
        <w:t xml:space="preserve">– </w:t>
      </w:r>
      <w:r>
        <w:rPr/>
        <w:t xml:space="preserve">2016, through the general elections. The project should use the direct implementation modality.</w:t>
      </w:r>
      <w:r>
        <w:rPr/>
        <w:t xml:space="preserve"> </w:t>
      </w:r>
    </w:p>
    <w:p>
      <w:pPr>
        <w:spacing w:before="0" w:after="12" w:line="259" w:lineRule="auto"/>
        <w:ind w:left="720" w:right="0" w:firstLine="0"/>
        <w:jc w:val="left"/>
      </w:pPr>
      <w:r>
        <w:rPr/>
        <w:t xml:space="preserve"> </w:t>
      </w:r>
    </w:p>
    <w:p>
      <w:pPr>
        <w:pStyle w:val="normal"/>
        <w:numPr>
          <w:ilvl w:val="1"/>
          <w:numId w:val="2"/>
        </w:numPr>
        <w:spacing w:before="0" w:after="3" w:line="248" w:lineRule="auto"/>
        <w:ind w:left="720" w:right="754" w:hanging="360"/>
      </w:pPr>
      <w:r>
        <w:rPr/>
        <w:t xml:space="preserve">That coordination and direct support to observation (domestic or international) should not be included among project activities. </w:t>
      </w:r>
      <w:r>
        <w:rPr/>
        <w:t xml:space="preserve"> </w:t>
      </w:r>
    </w:p>
    <w:p>
      <w:pPr>
        <w:spacing w:before="0" w:after="12" w:line="259" w:lineRule="auto"/>
        <w:ind w:left="0" w:right="0" w:firstLine="0"/>
        <w:jc w:val="left"/>
      </w:pPr>
      <w:r>
        <w:rPr/>
        <w:t xml:space="preserve"> </w:t>
      </w:r>
    </w:p>
    <w:p>
      <w:pPr>
        <w:numPr>
          <w:ilvl w:val="1"/>
          <w:numId w:val="2"/>
        </w:numPr>
        <w:spacing w:before="0" w:after="120" w:line="239" w:lineRule="auto"/>
        <w:ind w:left="720" w:right="754" w:hanging="360"/>
      </w:pPr>
      <w:r>
        <w:rPr/>
        <w:t xml:space="preserve">Strong country office</w:t>
      </w:r>
      <w:r>
        <w:rPr/>
        <w:t xml:space="preserve">-</w:t>
      </w:r>
      <w:r>
        <w:rPr/>
        <w:t xml:space="preserve">headquarters engagement in the course of project formulation and implementation. This should include further EAD</w:t>
      </w:r>
      <w:r>
        <w:rPr/>
        <w:t xml:space="preserve">-</w:t>
      </w:r>
      <w:r>
        <w:rPr/>
        <w:t xml:space="preserve">led missions timed to match the phases of the referendum and related activities in the context of the 2014 referendum.</w:t>
      </w:r>
      <w:r>
        <w:rPr/>
        <w:t xml:space="preserve"> </w:t>
      </w:r>
    </w:p>
    <w:p>
      <w:pPr>
        <w:spacing w:before="0" w:after="98" w:line="259" w:lineRule="auto"/>
        <w:ind w:left="0" w:right="0" w:firstLine="0"/>
        <w:jc w:val="left"/>
      </w:pPr>
      <w:r>
        <w:rPr/>
        <w:t xml:space="preserve">  </w:t>
      </w:r>
    </w:p>
    <w:p>
      <w:pPr>
        <w:pStyle w:val="normal"/>
        <w:spacing w:before="0" w:after="112" w:line="248" w:lineRule="auto"/>
        <w:ind w:left="-5" w:right="754"/>
      </w:pPr>
      <w:r>
        <w:rPr/>
        <w:t xml:space="preserve">Since the introduction of the constitutional review process last year, it is clear the EMBs will be called upon to update the</w:t>
      </w:r>
      <w:r>
        <w:rPr/>
        <w:t xml:space="preserve"> </w:t>
      </w:r>
      <w:r>
        <w:rPr/>
        <w:t xml:space="preserve">voter registers and conduct referenda (in the case of NEC) on the new constitution</w:t>
      </w:r>
      <w:r>
        <w:rPr/>
        <w:t xml:space="preserve">,</w:t>
      </w:r>
      <w:r>
        <w:rPr/>
        <w:t xml:space="preserve"> </w:t>
      </w:r>
      <w:r>
        <w:rPr/>
        <w:t xml:space="preserve">most likely in</w:t>
      </w:r>
      <w:r>
        <w:rPr/>
        <w:t xml:space="preserve"> </w:t>
      </w:r>
      <w:r>
        <w:rPr/>
        <w:t xml:space="preserve">2014,</w:t>
      </w:r>
      <w:r>
        <w:rPr/>
        <w:t xml:space="preserve"> </w:t>
      </w:r>
      <w:r>
        <w:rPr/>
        <w:t xml:space="preserve">and the general elections in 2015.  This development requires UNDP and the donor community to be proactive and engage earlier with the electoral process in line with the electoral cycle approach.</w:t>
      </w:r>
      <w:r>
        <w:rPr/>
        <w:t xml:space="preserve"> </w:t>
      </w:r>
      <w:r>
        <w:rPr/>
        <w:t xml:space="preserve">There is universal understanding that a quick start is required.</w:t>
      </w:r>
      <w:r>
        <w:rPr/>
        <w:t xml:space="preserve"> </w:t>
      </w:r>
    </w:p>
    <w:p>
      <w:pPr>
        <w:spacing w:before="0" w:after="0" w:line="259" w:lineRule="auto"/>
        <w:ind w:left="0" w:right="0" w:firstLine="0"/>
        <w:jc w:val="left"/>
      </w:pPr>
      <w:r>
        <w:rPr>
          <w:rFonts w:cs="Calibri" w:hAnsi="Calibri" w:eastAsia="Calibri" w:ascii="Calibri"/>
          <w:b w:val="1"/>
        </w:rPr>
        <w:t xml:space="preserve"> </w:t>
      </w:r>
    </w:p>
    <w:p>
      <w:pPr>
        <w:pStyle w:val="heading1"/>
        <w:spacing w:before="0" w:after="218" w:line="259" w:lineRule="auto"/>
        <w:ind w:left="-4" w:right="0"/>
      </w:pPr>
      <w:r>
        <w:rPr/>
        <w:t xml:space="preserve">B. SITUATIONAL ANALYSIS</w:t>
      </w:r>
      <w:r>
        <w:rPr/>
        <w:t xml:space="preserve"> </w:t>
      </w:r>
    </w:p>
    <w:p>
      <w:pPr>
        <w:pStyle w:val="heading2"/>
        <w:spacing w:before="0" w:after="107" w:line="249" w:lineRule="auto"/>
        <w:ind w:left="-5"/>
      </w:pPr>
      <w:r>
        <w:rPr/>
        <w:t xml:space="preserve">B.1 Country Profile </w:t>
      </w:r>
      <w:r>
        <w:rPr/>
        <w:t xml:space="preserve"> </w:t>
      </w:r>
    </w:p>
    <w:p>
      <w:pPr>
        <w:pStyle w:val="normal"/>
        <w:spacing w:before="0" w:after="137" w:line="248" w:lineRule="auto"/>
        <w:ind w:left="-5" w:right="754"/>
      </w:pPr>
      <w:r>
        <w:rPr/>
        <w:t xml:space="preserve">The United Republic of Tanzania is located in Eastern Africa bordering the Indian Ocean and located</w:t>
      </w:r>
      <w:r>
        <w:rPr/>
        <w:t xml:space="preserve"> </w:t>
      </w:r>
      <w:r>
        <w:rPr/>
        <w:t xml:space="preserve">between Kenya in the north and, Uganda, DRC, Burundi, Rwanda to the east and Malawi, Zambia and Mozambique in the south.  Tanzania is one of the largest countries in Africa with a land mass of </w:t>
      </w:r>
      <w:r>
        <w:rPr/>
        <w:t xml:space="preserve">947,300 </w:t>
      </w:r>
      <w:r>
        <w:rPr/>
        <w:t xml:space="preserve">sq.</w:t>
      </w:r>
      <w:r>
        <w:rPr/>
        <w:t xml:space="preserve"> </w:t>
      </w:r>
      <w:r>
        <w:rPr/>
        <w:t xml:space="preserve">km. It comprises Mainland (originally known as Tanganyika) and the two islands of Zanzibar, i.e. Unguja and Pemba.  Its population, which was estimated at 46,912,768 in July 2012, is 30% Christian, 35% Muslim and 35% indigenous beliefs 35%; Zanzibar </w:t>
      </w:r>
      <w:r>
        <w:rPr/>
        <w:t xml:space="preserve">- </w:t>
      </w:r>
      <w:r>
        <w:rPr/>
        <w:t xml:space="preserve">more than 99% Muslim.</w:t>
      </w:r>
      <w:r>
        <w:rPr/>
        <w:t xml:space="preserve"> </w:t>
      </w:r>
    </w:p>
    <w:p>
      <w:pPr>
        <w:pStyle w:val="normal"/>
        <w:spacing w:before="0" w:after="112" w:line="248" w:lineRule="auto"/>
        <w:ind w:left="-5" w:right="754"/>
      </w:pPr>
      <w:r>
        <w:rPr/>
        <w:t xml:space="preserve">Tanzania is ranked 152</w:t>
      </w:r>
      <w:r>
        <w:rPr>
          <w:vertAlign w:val="superscript"/>
        </w:rPr>
        <w:t xml:space="preserve">nd</w:t>
      </w:r>
      <w:r>
        <w:rPr/>
        <w:t xml:space="preserve"> </w:t>
      </w:r>
      <w:r>
        <w:rPr/>
        <w:t xml:space="preserve">out of 187 countries on the UNDP 2011 Human Development Index, and it is one of the world's poorest economies in terms of per capita income. Real GDP in Tanzania grew on average by around 7 percent annually during the past decade, well above the average growth rate of most other Sub Saharan African countries </w:t>
      </w:r>
      <w:r>
        <w:rPr/>
        <w:t xml:space="preserve">- </w:t>
      </w:r>
      <w:r>
        <w:rPr/>
        <w:t xml:space="preserve">on account of increased mining (mainly gold) production, tourism, and thanks to trade and exchange liberalization, increased foreign direct investment, taxation and financial sector reform, and civil service</w:t>
      </w:r>
      <w:r>
        <w:rPr/>
        <w:t xml:space="preserve"> </w:t>
      </w:r>
      <w:r>
        <w:rPr/>
        <w:t xml:space="preserve">reform. But this high rate of economic growth has not translated into a corresponding decline in poverty, which dropped by only two percentage points during this period. As a result, the ‘basic needs’ poverty rate remains very high at 33.6 per cent. While</w:t>
      </w:r>
      <w:r>
        <w:rPr/>
        <w:t xml:space="preserve"> </w:t>
      </w:r>
      <w:r>
        <w:rPr/>
        <w:t xml:space="preserve">the industry and services sectors became more dynamic with growth rates of about 12 per cent and 9 per cent respectively over this period, their employment generation did not keep up with the need for jobs. Agriculture, on which the livelihood of the majority of rural poor depends, grew only by around 4.5 per cent annually, barely enough to raise the real per capita income of the rural poor. </w:t>
      </w:r>
      <w:r>
        <w:rPr/>
        <w:t xml:space="preserve"> </w:t>
      </w:r>
    </w:p>
    <w:p>
      <w:pPr>
        <w:pStyle w:val="normal"/>
        <w:spacing w:before="0" w:after="112" w:line="248" w:lineRule="auto"/>
        <w:ind w:left="-5" w:right="754"/>
      </w:pPr>
      <w:r>
        <w:rPr/>
        <w:t xml:space="preserve">Tanzania’s economy has shown strong resilience to external shocks, especially during the global financial crises. While relative isolation from major markets played its part, strong fundamentals seem to have helped Tanzania to weather the crises better than others. The economy reflected a stable growth of 6.5 per cent in 2011 and is expected to bounce back in the coming year(s). Inflation has mostly been under control except during the food crisis of 2008 and recent hikes of oil prices. The exchange rate, after exhibiting volatility in recent months, remains stable. Fiscal deficit and growing debt are a concern but could be well managed if corrective measures are in place. Rising oil prices, a decline in gold prices and drop in FDI in the face of a global slowdown could have spill</w:t>
      </w:r>
      <w:r>
        <w:rPr/>
        <w:t xml:space="preserve">-</w:t>
      </w:r>
      <w:r>
        <w:rPr/>
        <w:t xml:space="preserve">over effects on the domestic economy.</w:t>
      </w:r>
      <w:r>
        <w:rPr/>
        <w:t xml:space="preserve"> </w:t>
      </w:r>
    </w:p>
    <w:p>
      <w:pPr>
        <w:pStyle w:val="normal"/>
        <w:spacing w:before="0" w:after="3" w:line="248" w:lineRule="auto"/>
        <w:ind w:left="-5" w:right="754"/>
      </w:pPr>
      <w:r>
        <w:rPr/>
        <w:t xml:space="preserve">The economy depends heavily on agriculture, which accounts for more than one</w:t>
      </w:r>
      <w:r>
        <w:rPr/>
        <w:t xml:space="preserve">-</w:t>
      </w:r>
      <w:r>
        <w:rPr/>
        <w:t xml:space="preserve">quarter of GDP, provides 85% of exports, and employs about 80% of the work force.  Despite the high GDP growth in the last few years, most Tanzanians are yet to benefit from the high growth rate; inequalities between the rich and the poor especially the rural 80% who depend on subsistence agriculture is on the rise.  The proportion of the population living below the poverty line is estimated at 32%.  About 11 per cent of the labor force is unemployed or under</w:t>
      </w:r>
      <w:r>
        <w:rPr/>
        <w:t xml:space="preserve">-</w:t>
      </w:r>
      <w:r>
        <w:rPr/>
        <w:t xml:space="preserve">employed; this proportion is significantly higher among the youth.  Life expectancy is around 58 years. The largest population group in Tanzania is composed of people between the ages of 17</w:t>
      </w:r>
      <w:r>
        <w:rPr/>
        <w:t xml:space="preserve">-</w:t>
      </w:r>
      <w:r>
        <w:rPr/>
        <w:t xml:space="preserve">25. Rising unemployment among this section of the society is a worrying trend. Political violence in the country is being blamed mostly on this group as guided by some political parties.</w:t>
      </w:r>
      <w:r>
        <w:rPr/>
        <w:t xml:space="preserve"> </w:t>
      </w:r>
    </w:p>
    <w:p>
      <w:pPr>
        <w:spacing w:before="0" w:after="237" w:line="259" w:lineRule="auto"/>
        <w:ind w:left="0" w:right="0" w:firstLine="0"/>
        <w:jc w:val="left"/>
      </w:pPr>
      <w:r>
        <w:rPr>
          <w:rFonts w:cs="Arial" w:hAnsi="Arial" w:eastAsia="Arial" w:ascii="Arial"/>
          <w:b w:val="1"/>
        </w:rPr>
        <w:t xml:space="preserve"> </w:t>
      </w:r>
    </w:p>
    <w:p>
      <w:pPr>
        <w:pStyle w:val="heading2"/>
        <w:tabs>
          <w:tab w:val="center" w:pos="1268"/>
        </w:tabs>
        <w:spacing w:before="0" w:after="44" w:line="249" w:lineRule="auto"/>
        <w:ind w:left="-15" w:firstLine="0"/>
      </w:pPr>
      <w:r>
        <w:rPr/>
        <w:t xml:space="preserve">B.</w:t>
      </w:r>
      <w:r>
        <w:rPr/>
        <w:t xml:space="preserve">2</w:t>
      </w:r>
      <w:r>
        <w:rPr/>
        <w:t xml:space="preserve"> 	</w:t>
      </w:r>
      <w:r>
        <w:rPr/>
        <w:t xml:space="preserve">Background</w:t>
      </w:r>
      <w:r>
        <w:rPr/>
        <w:t xml:space="preserve"> </w:t>
      </w:r>
    </w:p>
    <w:p>
      <w:pPr>
        <w:pStyle w:val="normal"/>
        <w:spacing w:before="0" w:after="3" w:line="248" w:lineRule="auto"/>
        <w:ind w:left="-5" w:right="754"/>
      </w:pPr>
      <w:r>
        <w:rPr/>
        <w:t xml:space="preserve">Tanzania has enjoyed a relatively peaceful history since independence from Britain in 1960 and the formation of a Union of Tanganyika and Zanzibar in 1964 (The United Republic of Tanzania). In 1965 the country adopted a one</w:t>
      </w:r>
      <w:r>
        <w:rPr/>
        <w:t xml:space="preserve">-</w:t>
      </w:r>
      <w:r>
        <w:rPr/>
        <w:t xml:space="preserve">party system though it continued to hold elections among the candidates of the ruling party CCM (in Mainland but not in Zanzibar). Such elections were generally peaceful and characterized by high voter turnout, for example 78% in 1965.  Although elections in Mainland were generally peaceful since independence, Zanzibar experienced a markedly different electoral history</w:t>
      </w:r>
      <w:r>
        <w:rPr/>
        <w:t xml:space="preserve">.</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country returned to multiparty democracy in 1992 with</w:t>
      </w:r>
      <w:r>
        <w:rPr/>
        <w:t xml:space="preserve"> </w:t>
      </w:r>
      <w:r>
        <w:rPr/>
        <w:t xml:space="preserve">the first competitive and open elections held in 1995.  The CCM comfortably won the 1995 multiparty elections in the Mainland but with a thin majority in Zanzibar. While elections in Mainland were largely peaceful, in Zanzibar elections were characterized</w:t>
      </w:r>
      <w:r>
        <w:rPr/>
        <w:t xml:space="preserve"> </w:t>
      </w:r>
      <w:r>
        <w:rPr/>
        <w:t xml:space="preserve">by irregularities and violence, which led to the opposition CUF party rejecting the results and boycotting the government.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2000 elections in Zanzibar took place in an atmosphere of heightened political tension and mistrust between the CCM and CUF.</w:t>
      </w:r>
      <w:r>
        <w:rPr/>
        <w:t xml:space="preserve"> </w:t>
      </w:r>
      <w:r>
        <w:rPr/>
        <w:t xml:space="preserve">Irregularities, violence and even fraud characterized these elections. CCM was officially declared the winner. In protest, CUF supporters organized mass demonstrations in January 2001, which led to violent clashes with security forces, leaving 23 people dead and hundreds others wounded, and hundreds more displaced</w:t>
      </w:r>
      <w:r>
        <w:rPr/>
        <w:t xml:space="preserve"> </w:t>
      </w:r>
      <w:r>
        <w:rPr/>
        <w:t xml:space="preserve">200 of who</w:t>
      </w:r>
      <w:r>
        <w:rPr/>
        <w:t xml:space="preserve"> </w:t>
      </w:r>
      <w:r>
        <w:rPr/>
        <w:t xml:space="preserve">fled to Mombasa.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violence precipitated three rounds of political dialogue between the two main political parties, the agreement reached or Muafaka in Swahili, provided for the inclusion of two Opposition members in the Zanzibar Election Commission following the 2005 election and culminated in the signing of a power</w:t>
      </w:r>
      <w:r>
        <w:rPr/>
        <w:t xml:space="preserve">-</w:t>
      </w:r>
      <w:r>
        <w:rPr/>
        <w:t xml:space="preserve">sharing agreement between the two parties, following a referendum in July 2010.  The General Election in October 2010</w:t>
      </w:r>
      <w:r>
        <w:rPr/>
        <w:t xml:space="preserve"> </w:t>
      </w:r>
      <w:r>
        <w:rPr/>
        <w:t xml:space="preserve">saw the CCM retaining power with the re</w:t>
      </w:r>
      <w:r>
        <w:rPr/>
        <w:t xml:space="preserve">-</w:t>
      </w:r>
      <w:r>
        <w:rPr/>
        <w:t xml:space="preserve">election of Jakaya Mrisho Kikwete</w:t>
      </w:r>
      <w:r>
        <w:rPr/>
        <w:t xml:space="preserve"> </w:t>
      </w:r>
      <w:r>
        <w:rPr/>
        <w:t xml:space="preserve">as President of the United Republic of Tanzania and the election of Ali Mohamed Shein as Zanzibar President. The CUF presidential candidate Seif Sharif Hamad came second and was appointed First Vice President in the new Zanzibar Government of National Unity (GNU). The two parties currently share power, and Cabinet seats are distributed between them in proportion to the number of each party’s parliamentary seats.</w:t>
      </w:r>
      <w:r>
        <w:rPr/>
        <w:t xml:space="preserve">  </w:t>
      </w:r>
      <w:r>
        <w:rPr/>
        <w:t xml:space="preserve">CCM was elected the majority party in both the National Assembly and the Zanzibar House of Representatives.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Meanwhile, recent cases of violence following isolated incidents of religious extremism which saw churches burnt down and also clashes between religious groups and the</w:t>
      </w:r>
      <w:r>
        <w:rPr/>
        <w:t xml:space="preserve"> </w:t>
      </w:r>
      <w:r>
        <w:rPr/>
        <w:t xml:space="preserve">police are clear testimony that peace and stability both in Zanzibar and Mainland remain under threat and more efforts are required to build sustainable peace and social cohesion. High levels of poverty and growing inequalities compounded by high youth unemployment also constitute a potential threat to the country’s peace. As elsewhere on the continent, unemployed youth in Tanzania, are increasingly subject to the influence of forces which are ready to use violence to achieve political ends. In Zanzibar, recent acts of violence have been orchestrated by the religious group Uamsho (Awakening).  </w:t>
      </w:r>
      <w:r>
        <w:rPr/>
        <w:t xml:space="preserve"> </w:t>
      </w:r>
    </w:p>
    <w:p>
      <w:pPr>
        <w:spacing w:before="0" w:after="0" w:line="259" w:lineRule="auto"/>
        <w:ind w:left="0" w:right="0" w:firstLine="0"/>
        <w:jc w:val="left"/>
      </w:pPr>
      <w:r>
        <w:rPr/>
        <w:t xml:space="preserve"> </w:t>
      </w:r>
    </w:p>
    <w:p>
      <w:pPr>
        <w:pStyle w:val="normal"/>
        <w:spacing w:before="0" w:after="26" w:line="248" w:lineRule="auto"/>
        <w:ind w:left="-5" w:right="754"/>
      </w:pPr>
      <w:r>
        <w:rPr/>
        <w:t xml:space="preserve">The voter turnout in 2010 on mainland Tanzania was the lowest</w:t>
      </w:r>
      <w:r>
        <w:rPr/>
        <w:t xml:space="preserve"> </w:t>
      </w:r>
      <w:r>
        <w:rPr/>
        <w:t xml:space="preserve">since the reintroduction of multi</w:t>
      </w:r>
      <w:r>
        <w:rPr/>
        <w:t xml:space="preserve"/>
      </w:r>
      <w:r>
        <w:rPr/>
        <w:t xml:space="preserve">party politics. (Voter turnout on Zanzibar was above 90 %). A university study carried out under the auspices of the ESP found a range of factors that led to low voter turn</w:t>
      </w:r>
      <w:r>
        <w:rPr/>
        <w:t xml:space="preserve">-</w:t>
      </w:r>
      <w:r>
        <w:rPr/>
        <w:t xml:space="preserve">out. Based on university research survey interviews, survey respondents identified 10 different, significant reasons for not voting. </w:t>
      </w:r>
      <w:r>
        <w:rPr/>
        <w:t xml:space="preserve"> </w:t>
      </w:r>
    </w:p>
    <w:p>
      <w:pPr>
        <w:pStyle w:val="normal"/>
        <w:numPr>
          <w:ilvl w:val="0"/>
          <w:numId w:val="3"/>
        </w:numPr>
        <w:spacing w:before="0" w:after="3" w:line="248" w:lineRule="auto"/>
        <w:ind w:left="720" w:right="754" w:hanging="360"/>
      </w:pPr>
      <w:r>
        <w:rPr/>
        <w:t xml:space="preserve">Inadequate civic and voter education (12.5%)</w:t>
      </w:r>
      <w:r>
        <w:rPr/>
        <w:t xml:space="preserve"> </w:t>
      </w:r>
    </w:p>
    <w:p>
      <w:pPr>
        <w:pStyle w:val="normal"/>
        <w:numPr>
          <w:ilvl w:val="0"/>
          <w:numId w:val="3"/>
        </w:numPr>
        <w:spacing w:before="0" w:after="26" w:line="248" w:lineRule="auto"/>
        <w:ind w:left="720" w:right="754" w:hanging="360"/>
      </w:pPr>
      <w:r>
        <w:rPr/>
        <w:t xml:space="preserve">Dissatisfaction with their elected leaders who had failed to honour or fulfill</w:t>
      </w:r>
      <w:r>
        <w:rPr/>
        <w:t xml:space="preserve"> </w:t>
      </w:r>
      <w:r>
        <w:rPr/>
        <w:t xml:space="preserve">their promises to the electorate (8.7%)</w:t>
      </w:r>
      <w:r>
        <w:rPr/>
        <w:t xml:space="preserve"> </w:t>
      </w:r>
    </w:p>
    <w:p>
      <w:pPr>
        <w:pStyle w:val="normal"/>
        <w:numPr>
          <w:ilvl w:val="0"/>
          <w:numId w:val="3"/>
        </w:numPr>
        <w:spacing w:before="0" w:after="3" w:line="248" w:lineRule="auto"/>
        <w:ind w:left="720" w:right="754" w:hanging="360"/>
      </w:pPr>
      <w:r>
        <w:rPr/>
        <w:t xml:space="preserve">Dissatisfaction with the performance of government and its leadership (8.4%)</w:t>
      </w:r>
      <w:r>
        <w:rPr/>
        <w:t xml:space="preserve"> </w:t>
      </w:r>
    </w:p>
    <w:p>
      <w:pPr>
        <w:pStyle w:val="normal"/>
        <w:numPr>
          <w:ilvl w:val="0"/>
          <w:numId w:val="3"/>
        </w:numPr>
        <w:spacing w:before="0" w:after="3" w:line="248" w:lineRule="auto"/>
        <w:ind w:left="720" w:right="754" w:hanging="360"/>
      </w:pPr>
      <w:r>
        <w:rPr/>
        <w:t xml:space="preserve">Fear due to threat of possible violence, insecurity and intimidation at polling</w:t>
      </w:r>
      <w:r>
        <w:rPr/>
        <w:t xml:space="preserve"> </w:t>
      </w:r>
      <w:r>
        <w:rPr/>
        <w:t xml:space="preserve">place (7.2%)</w:t>
      </w:r>
      <w:r>
        <w:rPr/>
        <w:t xml:space="preserve"> </w:t>
      </w:r>
    </w:p>
    <w:p>
      <w:pPr>
        <w:pStyle w:val="normal"/>
        <w:numPr>
          <w:ilvl w:val="0"/>
          <w:numId w:val="3"/>
        </w:numPr>
        <w:spacing w:before="0" w:after="26" w:line="248" w:lineRule="auto"/>
        <w:ind w:left="720" w:right="754" w:hanging="360"/>
      </w:pPr>
      <w:r>
        <w:rPr/>
        <w:t xml:space="preserve">New CCM nomination</w:t>
      </w:r>
      <w:r>
        <w:rPr/>
        <w:t xml:space="preserve"> </w:t>
      </w:r>
      <w:r>
        <w:rPr/>
        <w:t xml:space="preserve">procedure made some voters believe that elections were over after CCM primaries/nominations/preferential polls (6.9%)</w:t>
      </w:r>
      <w:r>
        <w:rPr/>
        <w:t xml:space="preserve"> </w:t>
      </w:r>
    </w:p>
    <w:p>
      <w:pPr>
        <w:pStyle w:val="normal"/>
        <w:numPr>
          <w:ilvl w:val="0"/>
          <w:numId w:val="3"/>
        </w:numPr>
        <w:spacing w:before="0" w:after="3" w:line="248" w:lineRule="auto"/>
        <w:ind w:left="720" w:right="754" w:hanging="360"/>
      </w:pPr>
      <w:r>
        <w:rPr/>
        <w:t xml:space="preserve">Some registered voters had their voter ID lost, stolen or misplaced (6.2%)</w:t>
      </w:r>
      <w:r>
        <w:rPr/>
        <w:t xml:space="preserve"> </w:t>
      </w:r>
    </w:p>
    <w:p>
      <w:pPr>
        <w:pStyle w:val="normal"/>
        <w:numPr>
          <w:ilvl w:val="0"/>
          <w:numId w:val="3"/>
        </w:numPr>
        <w:spacing w:before="0" w:after="3" w:line="248" w:lineRule="auto"/>
        <w:ind w:left="720" w:right="754" w:hanging="360"/>
      </w:pPr>
      <w:r>
        <w:rPr/>
        <w:t xml:space="preserve">Missing names and related anomalies in the PNVR (5.2%)</w:t>
      </w:r>
      <w:r>
        <w:rPr/>
        <w:t xml:space="preserve"> </w:t>
      </w:r>
    </w:p>
    <w:p>
      <w:pPr>
        <w:pStyle w:val="normal"/>
        <w:numPr>
          <w:ilvl w:val="0"/>
          <w:numId w:val="3"/>
        </w:numPr>
        <w:spacing w:before="0" w:after="3" w:line="248" w:lineRule="auto"/>
        <w:ind w:left="720" w:right="754" w:hanging="360"/>
      </w:pPr>
      <w:r>
        <w:rPr/>
        <w:t xml:space="preserve">Some voters were discouraged by corrupt practices in nominations and campaigns (5.2%)</w:t>
      </w:r>
      <w:r>
        <w:rPr/>
        <w:t xml:space="preserve"> </w:t>
      </w:r>
    </w:p>
    <w:p>
      <w:pPr>
        <w:pStyle w:val="normal"/>
        <w:numPr>
          <w:ilvl w:val="0"/>
          <w:numId w:val="3"/>
        </w:numPr>
        <w:spacing w:before="0" w:after="26" w:line="248" w:lineRule="auto"/>
        <w:ind w:left="720" w:right="754" w:hanging="360"/>
      </w:pPr>
      <w:r>
        <w:rPr/>
        <w:t xml:space="preserve">Some registered voters did not consider that elections would make a difference in their lives </w:t>
      </w:r>
      <w:r>
        <w:rPr/>
        <w:t xml:space="preserve">(4.5</w:t>
      </w:r>
      <w:r>
        <w:rPr/>
        <w:t xml:space="preserve">%)</w:t>
      </w:r>
      <w:r>
        <w:rPr/>
        <w:t xml:space="preserve"> </w:t>
      </w:r>
    </w:p>
    <w:p>
      <w:pPr>
        <w:pStyle w:val="normal"/>
        <w:numPr>
          <w:ilvl w:val="0"/>
          <w:numId w:val="3"/>
        </w:numPr>
        <w:spacing w:before="0" w:after="228" w:line="248" w:lineRule="auto"/>
        <w:ind w:left="720" w:right="754" w:hanging="360"/>
      </w:pPr>
      <w:r>
        <w:rPr/>
        <w:t xml:space="preserve">Long distance between polling stations and voters residences</w:t>
      </w:r>
      <w:r>
        <w:rPr/>
        <w:t xml:space="preserve"> (4.3%)  </w:t>
      </w:r>
    </w:p>
    <w:p>
      <w:pPr>
        <w:pStyle w:val="normal"/>
        <w:spacing w:before="0" w:after="232" w:line="248" w:lineRule="auto"/>
        <w:ind w:left="-5" w:right="754"/>
      </w:pPr>
      <w:r>
        <w:rPr/>
        <w:t xml:space="preserve">Although the largest single factor, only 12 % identified a lack of voter and civic education, there is no break</w:t>
      </w:r>
      <w:r>
        <w:rPr/>
        <w:t xml:space="preserve">-</w:t>
      </w:r>
      <w:r>
        <w:rPr/>
        <w:t xml:space="preserve">down available between lack of voter education and lack of civic education. However, the combined result for dissatisfaction with leaders and dissatisfaction with government is more than </w:t>
      </w:r>
      <w:r>
        <w:rPr/>
        <w:t xml:space="preserve">17%. </w:t>
      </w:r>
      <w:r>
        <w:rPr/>
        <w:t xml:space="preserve">Informed</w:t>
      </w:r>
      <w:r>
        <w:rPr/>
        <w:t xml:space="preserve"> </w:t>
      </w:r>
      <w:r>
        <w:rPr/>
        <w:t xml:space="preserve">by this study, the project will support voter education, a peaceful election environment, and will assist NEC and ZEC</w:t>
      </w:r>
      <w:r>
        <w:rPr/>
        <w:t xml:space="preserve"> </w:t>
      </w:r>
      <w:r>
        <w:rPr/>
        <w:t xml:space="preserve">to address other appropriate issues</w:t>
      </w:r>
      <w:r>
        <w:rPr/>
        <w:t xml:space="preserve"> </w:t>
      </w:r>
      <w:r>
        <w:rPr/>
        <w:t xml:space="preserve">as identified from past experience</w:t>
      </w:r>
      <w:r>
        <w:rPr/>
        <w:t xml:space="preserve">.</w:t>
      </w:r>
      <w:r>
        <w:rPr/>
        <w:t xml:space="preserve"> </w:t>
      </w:r>
    </w:p>
    <w:p>
      <w:pPr>
        <w:pStyle w:val="heading2"/>
        <w:spacing w:before="0" w:after="9" w:line="249" w:lineRule="auto"/>
        <w:ind w:left="-5"/>
      </w:pPr>
      <w:r>
        <w:rPr/>
        <w:t xml:space="preserve">B.3. Sector Context </w:t>
      </w:r>
      <w:r>
        <w:rPr/>
        <w:t xml:space="preserve"> </w:t>
      </w:r>
    </w:p>
    <w:p>
      <w:pPr>
        <w:spacing w:before="0" w:after="9" w:line="249" w:lineRule="auto"/>
        <w:ind w:left="-5" w:right="0"/>
        <w:jc w:val="left"/>
      </w:pPr>
      <w:r>
        <w:rPr>
          <w:rFonts w:cs="Calibri" w:hAnsi="Calibri" w:eastAsia="Calibri" w:ascii="Calibri"/>
          <w:b w:val="1"/>
          <w:i w:val="1"/>
        </w:rPr>
        <w:t xml:space="preserve">B.3.1 Electoral Systems</w:t>
      </w:r>
      <w:r>
        <w:rPr>
          <w:rFonts w:cs="Calibri" w:hAnsi="Calibri" w:eastAsia="Calibri" w:ascii="Calibri"/>
          <w:b w:val="1"/>
          <w:i w:val="1"/>
        </w:rPr>
        <w:t xml:space="preserve"> </w:t>
      </w:r>
    </w:p>
    <w:p>
      <w:pPr>
        <w:spacing w:before="0" w:after="0" w:line="259" w:lineRule="auto"/>
        <w:ind w:left="0" w:right="0" w:firstLine="0"/>
        <w:jc w:val="left"/>
      </w:pPr>
      <w:r>
        <w:rPr>
          <w:rFonts w:cs="Calibri" w:hAnsi="Calibri" w:eastAsia="Calibri" w:ascii="Calibri"/>
          <w:i w:val="1"/>
        </w:rPr>
        <w:t xml:space="preserve"> </w:t>
      </w:r>
    </w:p>
    <w:p>
      <w:pPr>
        <w:pStyle w:val="normal"/>
        <w:spacing w:before="0" w:after="3" w:line="248" w:lineRule="auto"/>
        <w:ind w:left="-5" w:right="754"/>
      </w:pPr>
      <w:r>
        <w:rPr/>
        <w:t xml:space="preserve">Presidential and parliamentary elections in Tanzania are held every five years on the basis of a </w:t>
      </w:r>
      <w:r>
        <w:rPr>
          <w:rFonts w:cs="Calibri" w:hAnsi="Calibri" w:eastAsia="Calibri" w:ascii="Calibri"/>
          <w:i w:val="1"/>
        </w:rPr>
        <w:t xml:space="preserve">first</w:t>
      </w:r>
      <w:r>
        <w:rPr>
          <w:rFonts w:cs="Calibri" w:hAnsi="Calibri" w:eastAsia="Calibri" w:ascii="Calibri"/>
          <w:i w:val="1"/>
        </w:rPr>
        <w:t xml:space="preserve"/>
      </w:r>
      <w:r>
        <w:rPr>
          <w:rFonts w:cs="Calibri" w:hAnsi="Calibri" w:eastAsia="Calibri" w:ascii="Calibri"/>
          <w:i w:val="1"/>
        </w:rPr>
        <w:t xml:space="preserve">past</w:t>
      </w:r>
      <w:r>
        <w:rPr>
          <w:rFonts w:cs="Calibri" w:hAnsi="Calibri" w:eastAsia="Calibri" w:ascii="Calibri"/>
          <w:i w:val="1"/>
        </w:rPr>
        <w:t xml:space="preserve">-</w:t>
      </w:r>
      <w:r>
        <w:rPr>
          <w:rFonts w:cs="Calibri" w:hAnsi="Calibri" w:eastAsia="Calibri" w:ascii="Calibri"/>
          <w:i w:val="1"/>
        </w:rPr>
        <w:t xml:space="preserve">the</w:t>
      </w:r>
      <w:r>
        <w:rPr>
          <w:rFonts w:cs="Calibri" w:hAnsi="Calibri" w:eastAsia="Calibri" w:ascii="Calibri"/>
          <w:i w:val="1"/>
        </w:rPr>
        <w:t xml:space="preserve">-</w:t>
      </w:r>
      <w:r>
        <w:rPr>
          <w:rFonts w:cs="Calibri" w:hAnsi="Calibri" w:eastAsia="Calibri" w:ascii="Calibri"/>
          <w:i w:val="1"/>
        </w:rPr>
        <w:t xml:space="preserve">post</w:t>
      </w:r>
      <w:r>
        <w:rPr/>
        <w:t xml:space="preserve"> </w:t>
      </w:r>
      <w:r>
        <w:rPr/>
        <w:t xml:space="preserve">constituency</w:t>
      </w:r>
      <w:r>
        <w:rPr/>
        <w:t xml:space="preserve">-</w:t>
      </w:r>
      <w:r>
        <w:rPr/>
        <w:t xml:space="preserve">based electoral system</w:t>
      </w:r>
      <w:r>
        <w:rPr/>
        <w:t xml:space="preserve"> </w:t>
      </w:r>
      <w:r>
        <w:rPr/>
        <w:t xml:space="preserve">for the Union and Zanzibar parliaments, and Presidents. The last General Elections were held on 31 October 2010, the fourth since the re</w:t>
      </w:r>
      <w:r>
        <w:rPr/>
        <w:t xml:space="preserve"/>
      </w:r>
      <w:r>
        <w:rPr/>
        <w:t xml:space="preserve">introduction of multiparty democracy in 1992. Tanzania elects a Union President who presides over Union matters, while Zanzibar elects its President who presides over Zanzibar</w:t>
      </w:r>
      <w:r>
        <w:rPr/>
        <w:t xml:space="preserve">-</w:t>
      </w:r>
      <w:r>
        <w:rPr/>
        <w:t xml:space="preserve">specific government matters. The Union office is limited to two five</w:t>
      </w:r>
      <w:r>
        <w:rPr/>
        <w:t xml:space="preserve">-</w:t>
      </w:r>
      <w:r>
        <w:rPr/>
        <w:t xml:space="preserve">year terms. The October 2010 election saw the incumbent President Jakaya Kikwete of CCM retaining power to serve his second and last presidential term.  In the case of Zanzibar, presidential power is shared between the two main parties CCM and CUF, in a 1 + 2 power</w:t>
      </w:r>
      <w:r>
        <w:rPr/>
        <w:t xml:space="preserve">-</w:t>
      </w:r>
      <w:r>
        <w:rPr/>
        <w:t xml:space="preserve">sharing formula agreed upon in July 2010 to mitigate the repeated cycles of violence around</w:t>
      </w:r>
      <w:r>
        <w:rPr/>
        <w:t xml:space="preserve"> </w:t>
      </w:r>
      <w:r>
        <w:rPr/>
        <w:t xml:space="preserve">elections on the islands.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Tanzania elects 239 Members of Union Parliament; 102 are reserved seats for women; the Union President appoints 10</w:t>
      </w:r>
      <w:r>
        <w:rPr/>
        <w:t xml:space="preserve"> </w:t>
      </w:r>
      <w:r>
        <w:rPr/>
        <w:t xml:space="preserve">members and 1 ex</w:t>
      </w:r>
      <w:r>
        <w:rPr/>
        <w:t xml:space="preserve">-</w:t>
      </w:r>
      <w:r>
        <w:rPr/>
        <w:t xml:space="preserve">officio member, i.e. the attorney</w:t>
      </w:r>
      <w:r>
        <w:rPr/>
        <w:t xml:space="preserve">-</w:t>
      </w:r>
      <w:r>
        <w:rPr/>
        <w:t xml:space="preserve">general; 5 members are elected from the House of Representatives (HoR) of Zanzibar.</w:t>
      </w:r>
      <w:r>
        <w:rPr/>
        <w:t xml:space="preserve">  </w:t>
      </w:r>
      <w:r>
        <w:rPr/>
        <w:t xml:space="preserve">The 81 members of the Zanzibar HoR consist of 50 elected members, 20 special seats for women, 10 presidential appointees and the attorney general as an</w:t>
      </w:r>
      <w:r>
        <w:rPr/>
        <w:t xml:space="preserve"> </w:t>
      </w:r>
      <w:r>
        <w:rPr/>
        <w:t xml:space="preserve">ex</w:t>
      </w:r>
      <w:r>
        <w:rPr/>
        <w:t xml:space="preserve">-</w:t>
      </w:r>
      <w:r>
        <w:rPr/>
        <w:t xml:space="preserve">officio member. Women’s reserved seats in Zanzibar account for 40% of the elective seats in the HoR</w:t>
      </w:r>
      <w:r>
        <w:rPr/>
        <w:t xml:space="preserve">.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reserved seats for women in both Legislatures are distributed proportionally to the number of seats each party has won in the respective elections. The use of reserved seats for women in parliament has had a tremendous impact on the global ranking of Tanzania when it comes to women representation in politics, i.e. 36% which makes the country</w:t>
      </w:r>
      <w:r>
        <w:rPr>
          <w:rFonts w:cs="Arial" w:hAnsi="Arial" w:eastAsia="Arial" w:ascii="Arial"/>
          <w:b w:val="1"/>
        </w:rPr>
        <w:t xml:space="preserve"> </w:t>
      </w:r>
      <w:r>
        <w:rPr/>
        <w:t xml:space="preserve">4</w:t>
      </w:r>
      <w:r>
        <w:rPr>
          <w:vertAlign w:val="superscript"/>
        </w:rPr>
        <w:t xml:space="preserve">th</w:t>
      </w:r>
      <w:r>
        <w:rPr/>
        <w:t xml:space="preserve">  </w:t>
      </w:r>
      <w:r>
        <w:rPr/>
        <w:t xml:space="preserve">in the continent and 20</w:t>
      </w:r>
      <w:r>
        <w:rPr>
          <w:vertAlign w:val="superscript"/>
        </w:rPr>
        <w:t xml:space="preserve">th</w:t>
      </w:r>
      <w:r>
        <w:rPr/>
        <w:t xml:space="preserve"> </w:t>
      </w:r>
      <w:r>
        <w:rPr/>
        <w:t xml:space="preserve">in the world. </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t xml:space="preserve"> </w:t>
      </w:r>
    </w:p>
    <w:p>
      <w:pPr>
        <w:pStyle w:val="heading5"/>
        <w:spacing w:before="0" w:after="9" w:line="249" w:lineRule="auto"/>
        <w:ind w:left="-5"/>
      </w:pPr>
      <w:r>
        <w:rPr/>
        <w:t xml:space="preserve">B.3.2. Electoral Administration </w:t>
      </w:r>
      <w:r>
        <w:rPr/>
        <w:t xml:space="preserve"> </w:t>
      </w:r>
    </w:p>
    <w:p>
      <w:pPr>
        <w:spacing w:before="0" w:after="0" w:line="259" w:lineRule="auto"/>
        <w:ind w:left="0" w:right="0" w:firstLine="0"/>
        <w:jc w:val="left"/>
      </w:pPr>
      <w:r>
        <w:rPr>
          <w:rFonts w:cs="Calibri" w:hAnsi="Calibri" w:eastAsia="Calibri" w:ascii="Calibri"/>
          <w:i w:val="1"/>
        </w:rPr>
        <w:t xml:space="preserve"> 	 </w:t>
      </w:r>
    </w:p>
    <w:p>
      <w:pPr>
        <w:spacing w:before="0" w:after="9" w:line="249" w:lineRule="auto"/>
        <w:ind w:left="-5" w:right="0"/>
        <w:jc w:val="left"/>
      </w:pPr>
      <w:r>
        <w:rPr>
          <w:rFonts w:cs="Calibri" w:hAnsi="Calibri" w:eastAsia="Calibri" w:ascii="Calibri"/>
          <w:i w:val="1"/>
        </w:rPr>
        <w:t xml:space="preserve">National Electoral Commission</w:t>
      </w:r>
      <w:r>
        <w:rPr>
          <w:rFonts w:cs="Calibri" w:hAnsi="Calibri" w:eastAsia="Calibri" w:ascii="Calibri"/>
          <w:i w:val="1"/>
        </w:rPr>
        <w:t xml:space="preserve"> </w:t>
      </w:r>
      <w:r>
        <w:rPr>
          <w:rFonts w:cs="Calibri" w:hAnsi="Calibri" w:eastAsia="Calibri" w:ascii="Calibri"/>
          <w:i w:val="1"/>
        </w:rPr>
        <w:t xml:space="preserve">(NEC)</w:t>
      </w:r>
      <w:r>
        <w:rPr>
          <w:rFonts w:cs="Calibri" w:hAnsi="Calibri" w:eastAsia="Calibri" w:ascii="Calibri"/>
          <w:i w:val="1"/>
        </w:rPr>
        <w:t xml:space="preserve"> </w:t>
      </w:r>
    </w:p>
    <w:p>
      <w:pPr>
        <w:spacing w:before="0" w:after="0" w:line="259" w:lineRule="auto"/>
        <w:ind w:left="0" w:right="0" w:firstLine="0"/>
        <w:jc w:val="left"/>
      </w:pPr>
      <w:r>
        <w:rPr>
          <w:rFonts w:cs="Calibri" w:hAnsi="Calibri" w:eastAsia="Calibri" w:ascii="Calibri"/>
          <w:i w:val="1"/>
        </w:rPr>
        <w:t xml:space="preserve"> </w:t>
      </w:r>
    </w:p>
    <w:p>
      <w:pPr>
        <w:pStyle w:val="normal"/>
        <w:spacing w:before="0" w:after="3" w:line="248" w:lineRule="auto"/>
        <w:ind w:left="-5" w:right="754"/>
      </w:pPr>
      <w:r>
        <w:rPr/>
        <w:t xml:space="preserve">Established in 1993 under article</w:t>
      </w:r>
      <w:r>
        <w:rPr/>
        <w:t xml:space="preserve"> </w:t>
      </w:r>
      <w:r>
        <w:rPr/>
        <w:t xml:space="preserve">74(1)</w:t>
      </w:r>
      <w:r>
        <w:rPr/>
        <w:t xml:space="preserve"> </w:t>
      </w:r>
      <w:r>
        <w:rPr/>
        <w:t xml:space="preserve">of the Constitution, NEC</w:t>
      </w:r>
      <w:r>
        <w:rPr/>
        <w:t xml:space="preserve"> </w:t>
      </w:r>
      <w:r>
        <w:rPr/>
        <w:t xml:space="preserve">is an autonomous government institution with a mandate to supervise and coordinate the registration of voters for presidential, parliamentary and councilors’ elections, registration of presidential candidates, and review and demarcation of parliamentary constituency boundaries.  The NEC has the power to issue regulations, directions and notices governing various aspects of the electoral process.  The Commission is composed of seven members who are appointed by the president for five years. Its secretariat is headed by a Director of Elections who is appointed by the Union President from among senior civil </w:t>
      </w:r>
      <w:r>
        <w:rPr/>
        <w:t xml:space="preserve">servants recommended by the Commission.  The Director serves as the secretary to the Commission and as its chief executive. </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i w:val="1"/>
        </w:rPr>
        <w:t xml:space="preserve"> </w:t>
      </w:r>
    </w:p>
    <w:p>
      <w:pPr>
        <w:spacing w:before="0" w:after="9" w:line="249" w:lineRule="auto"/>
        <w:ind w:left="-5" w:right="0"/>
        <w:jc w:val="left"/>
      </w:pPr>
      <w:r>
        <w:rPr>
          <w:rFonts w:cs="Calibri" w:hAnsi="Calibri" w:eastAsia="Calibri" w:ascii="Calibri"/>
          <w:i w:val="1"/>
        </w:rPr>
        <w:t xml:space="preserve">Zanzibar Electoral Commission</w:t>
      </w:r>
      <w:r>
        <w:rPr>
          <w:rFonts w:cs="Calibri" w:hAnsi="Calibri" w:eastAsia="Calibri" w:ascii="Calibri"/>
          <w:i w:val="1"/>
        </w:rPr>
        <w:t xml:space="preserve"> </w:t>
      </w:r>
      <w:r>
        <w:rPr>
          <w:rFonts w:cs="Calibri" w:hAnsi="Calibri" w:eastAsia="Calibri" w:ascii="Calibri"/>
          <w:i w:val="1"/>
        </w:rPr>
        <w:t xml:space="preserve">(ZEC)</w:t>
      </w:r>
      <w:r>
        <w:rPr>
          <w:rFonts w:cs="Calibri" w:hAnsi="Calibri" w:eastAsia="Calibri" w:ascii="Calibri"/>
          <w:i w:val="1"/>
        </w:rPr>
        <w:t xml:space="preserve"> </w:t>
      </w:r>
    </w:p>
    <w:p>
      <w:pPr>
        <w:spacing w:before="0" w:after="0" w:line="259" w:lineRule="auto"/>
        <w:ind w:left="0" w:right="0" w:firstLine="0"/>
        <w:jc w:val="left"/>
      </w:pPr>
      <w:r>
        <w:rPr>
          <w:rFonts w:cs="Calibri" w:hAnsi="Calibri" w:eastAsia="Calibri" w:ascii="Calibri"/>
          <w:i w:val="1"/>
        </w:rPr>
        <w:t xml:space="preserve"> </w:t>
      </w:r>
    </w:p>
    <w:p>
      <w:pPr>
        <w:pStyle w:val="normal"/>
        <w:spacing w:before="0" w:after="3" w:line="248" w:lineRule="auto"/>
        <w:ind w:left="-5" w:right="754"/>
      </w:pPr>
      <w:r>
        <w:rPr/>
        <w:t xml:space="preserve">ZEC</w:t>
      </w:r>
      <w:r>
        <w:rPr/>
        <w:t xml:space="preserve"> </w:t>
      </w:r>
      <w:r>
        <w:rPr/>
        <w:t xml:space="preserve">was established in 1993 through the Election Act of 1984 and is also composed of seven members with a five</w:t>
      </w:r>
      <w:r>
        <w:rPr/>
        <w:t xml:space="preserve">-</w:t>
      </w:r>
      <w:r>
        <w:rPr/>
        <w:t xml:space="preserve">year mandate. The President of Zanzibar appoints all members of the ZEC. They include two members on the recommendation of the House of Representatives, two others on the recommendation of the Opposition leader in the House of Representatives, one from among the judges of the High Court, and one as the President sees fit. The seventh member, the Chairman, comes from a High Court or Court of Appeals from any member country of the Commonwealth or is a highly respected member of the community. The President appoints the Director of Elections from among senior civil servants.  For the lower levels of election administration, both the NEC and the ZEC appoint regional election officers as well as returning officers from among regional or district executive officials, on secondment from their primary duties. This dependence on local administration personnel has earned both bodies criticism from political parties.</w:t>
      </w:r>
      <w:r>
        <w:rPr/>
        <w:t xml:space="preserve"> </w:t>
      </w:r>
    </w:p>
    <w:p>
      <w:pPr>
        <w:spacing w:before="0" w:after="218" w:line="259" w:lineRule="auto"/>
        <w:ind w:left="0" w:right="0" w:firstLine="0"/>
        <w:jc w:val="left"/>
      </w:pPr>
      <w:r>
        <w:rPr/>
        <w:t xml:space="preserve"> </w:t>
      </w:r>
    </w:p>
    <w:p>
      <w:pPr>
        <w:pStyle w:val="heading2"/>
        <w:spacing w:before="0" w:after="44" w:line="249" w:lineRule="auto"/>
        <w:ind w:left="-5"/>
      </w:pPr>
      <w:r>
        <w:rPr/>
        <w:t xml:space="preserve">B.</w:t>
      </w:r>
      <w:r>
        <w:rPr/>
        <w:t xml:space="preserve">4. </w:t>
      </w:r>
      <w:r>
        <w:rPr/>
        <w:t xml:space="preserve">Assessing the Electoral Landscape and Electoral Stakeholders  </w:t>
      </w:r>
      <w:r>
        <w:rPr/>
        <w:t xml:space="preserve"> </w:t>
      </w:r>
    </w:p>
    <w:p>
      <w:pPr>
        <w:spacing w:before="0" w:after="0" w:line="259" w:lineRule="auto"/>
        <w:ind w:left="0" w:right="0" w:firstLine="0"/>
        <w:jc w:val="left"/>
      </w:pPr>
      <w:r>
        <w:rPr>
          <w:rFonts w:cs="Arial" w:hAnsi="Arial" w:eastAsia="Arial" w:ascii="Arial"/>
          <w:b w:val="1"/>
        </w:rPr>
        <w:t xml:space="preserve"> </w:t>
      </w:r>
    </w:p>
    <w:p>
      <w:pPr>
        <w:pStyle w:val="normal"/>
        <w:spacing w:before="0" w:after="3" w:line="248" w:lineRule="auto"/>
        <w:ind w:left="-5" w:right="754"/>
      </w:pPr>
      <w:r>
        <w:rPr/>
        <w:t xml:space="preserve">While NEC as the national EMB has fairly adequate powers to manage elections, and event to determine election calendar by announcing the candidate nomination dates, determining campaign days and determining the election date, there are some structural and operational realities which militate against NEC’s independence</w:t>
      </w:r>
      <w:r>
        <w:rPr/>
        <w:t xml:space="preserve">:</w:t>
      </w:r>
      <w:r>
        <w:rPr/>
        <w:t xml:space="preserve"> </w:t>
      </w:r>
      <w:r>
        <w:rPr/>
        <w:t xml:space="preserve">these include the appointment of the EMB members by the President without input from stakeholders such as parliament or political parties, and the appointment of the Director of Elections, and other election administrators including returning officers by the government instead of the EMB. Another concern is the inadequate funding of NEC to carry out its activities in an independent and effective manner.  In the case of ZEC, the appointment of members is done by the Zanzibar President though preceded by consultation with the HoR and the opposition parties.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While Mainland electoral stakeholders show less confidence and trust in the NEC because of the perceived lack of independence of the EMB, in Zanzibar there is a consensus that the Commission is considered credible enough because of its bipartisan composition. However, the secretariat</w:t>
      </w:r>
      <w:r>
        <w:rPr/>
        <w:t xml:space="preserve"> </w:t>
      </w:r>
      <w:r>
        <w:rPr/>
        <w:t xml:space="preserve">is seen as being less so because it is composed of civil servants who are perceived as being partisan in favor</w:t>
      </w:r>
      <w:r>
        <w:rPr/>
        <w:t xml:space="preserve"> </w:t>
      </w:r>
      <w:r>
        <w:rPr/>
        <w:t xml:space="preserve">of the ruling party</w:t>
      </w:r>
      <w:r>
        <w:rPr/>
        <w:t xml:space="preserve">.  </w:t>
      </w:r>
      <w:r>
        <w:rPr/>
        <w:t xml:space="preserve">ZEC voters identification</w:t>
      </w:r>
      <w:r>
        <w:rPr/>
        <w:t xml:space="preserve"> </w:t>
      </w:r>
      <w:r>
        <w:rPr/>
        <w:t xml:space="preserve">has been challenged by observers and political stakeholders in the past, particularly in the legal requirements vis a vis the the Zanzibar Residency Card popularly known as the Zan ID. The process by which eligibility for the Zan ID is confirmed by local community leaders, government appointed Sheha’s is a long standing concern of CUF leaders who claim denial of eligibility and ID for some of their supporters/potential voters.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Evaluations of past electoral experiences and the performance of the EMBs </w:t>
      </w:r>
      <w:r>
        <w:rPr/>
        <w:t xml:space="preserve">– </w:t>
      </w:r>
      <w:r>
        <w:rPr/>
        <w:t xml:space="preserve">these include election observer reports and the 2012 NAM </w:t>
      </w:r>
      <w:r>
        <w:rPr/>
        <w:t xml:space="preserve">– </w:t>
      </w:r>
      <w:r>
        <w:rPr/>
        <w:t xml:space="preserve">pointed to the need to improve the credibility of elections and the performance of EMBs through institutional and structural reforms to electoral processes and institutions. Most analysts and observers agree that the ongoing constitutional review process presents a valuable opportunity to reform</w:t>
      </w:r>
      <w:r>
        <w:rPr/>
        <w:t xml:space="preserve"> </w:t>
      </w:r>
      <w:r>
        <w:rPr/>
        <w:t xml:space="preserve">the EMBs and improve management and integrity of the electoral process. Such reform should include giving the EMBs more powers to conduct elections in a free, independent and fair manner and for their members and officials</w:t>
      </w:r>
      <w:r>
        <w:rPr/>
        <w:t xml:space="preserve"> </w:t>
      </w:r>
      <w:r>
        <w:rPr/>
        <w:t xml:space="preserve">to be recruited in an</w:t>
      </w:r>
      <w:r>
        <w:rPr/>
        <w:t xml:space="preserve"> </w:t>
      </w:r>
      <w:r>
        <w:rPr/>
        <w:t xml:space="preserve">open and transparent manner. The reports and analysis further pointed to the need to allow independent candidates to partake in presidential elections, allowing political parties to form electoral alliances, </w:t>
      </w:r>
      <w:r>
        <w:rPr/>
        <w:t xml:space="preserve">widening the right and </w:t>
      </w:r>
      <w:r>
        <w:rPr>
          <w:rFonts w:cs="Calibri" w:hAnsi="Calibri" w:eastAsia="Calibri" w:ascii="Calibri"/>
          <w:i w:val="1"/>
        </w:rPr>
        <w:t xml:space="preserve">locus standi</w:t>
      </w:r>
      <w:r>
        <w:rPr/>
        <w:t xml:space="preserve"> </w:t>
      </w:r>
      <w:r>
        <w:rPr/>
        <w:t xml:space="preserve">to petition election results, and improving observer access to the electoral process.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Besides</w:t>
      </w:r>
      <w:r>
        <w:rPr/>
        <w:t xml:space="preserve"> </w:t>
      </w:r>
      <w:r>
        <w:rPr/>
        <w:t xml:space="preserve">the EMB</w:t>
      </w:r>
      <w:r>
        <w:rPr/>
        <w:t xml:space="preserve">,</w:t>
      </w:r>
      <w:r>
        <w:rPr/>
        <w:t xml:space="preserve"> </w:t>
      </w:r>
      <w:r>
        <w:rPr/>
        <w:t xml:space="preserve">other electoral stakeholders</w:t>
      </w:r>
      <w:r>
        <w:rPr/>
        <w:t xml:space="preserve"> </w:t>
      </w:r>
      <w:r>
        <w:rPr/>
        <w:t xml:space="preserve">such as the Registrar of Political Parties (RPP), Police, Judiciary, Political Parties, Media and Civil Society require capacity to effectively engage with the electoral process</w:t>
      </w:r>
      <w:r>
        <w:rPr/>
        <w:t xml:space="preserve"> </w:t>
      </w:r>
      <w:r>
        <w:rPr/>
        <w:t xml:space="preserve">to help ensure fair, credible and peaceful elections.</w:t>
      </w:r>
      <w:r>
        <w:rPr/>
        <w:t xml:space="preserve"> </w:t>
      </w:r>
      <w:r>
        <w:rPr/>
        <w:t xml:space="preserve">Although the RPP has maintained a good relationship with the EMBs over the years, no concrete efforts have hitherto been made either by the RPP, EMBs, UNDP and/or donors to undertake joint efforts especially between the EMBs</w:t>
      </w:r>
      <w:r>
        <w:rPr/>
        <w:t xml:space="preserve"> </w:t>
      </w:r>
      <w:r>
        <w:rPr/>
        <w:t xml:space="preserve">and the RPP to strengthen political party interface with elections. This is one area that DEP wishes to address and some activities to that effect have been programmed below.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Studies and analysis on the state of political parties in Tanzania clearly identify the lack of an effective regime to regulate the external and internal functioning</w:t>
      </w:r>
      <w:r>
        <w:rPr/>
        <w:t xml:space="preserve"> </w:t>
      </w:r>
      <w:r>
        <w:rPr/>
        <w:t xml:space="preserve">of political parties, with the laws being too restrictive to political parties and most parties showing weakness in terms of organizational strength and ideological orientation, and in promoting inclusive participation in party political structures, especially for women, youth and PWDs. Most political parties in Tanzania lack capacity to effectively engage with the electoral process, e.g. nominating candidates for elections and</w:t>
      </w:r>
      <w:r>
        <w:rPr/>
        <w:t xml:space="preserve"> </w:t>
      </w:r>
      <w:r>
        <w:rPr/>
        <w:t xml:space="preserve">observing and monitoring elections through capable agents who understand the electoral process</w:t>
      </w:r>
      <w:r>
        <w:rPr/>
        <w:t xml:space="preserve">.</w:t>
      </w:r>
      <w:r>
        <w:rPr/>
        <w:t xml:space="preserve">  </w:t>
      </w:r>
      <w:r>
        <w:rPr/>
        <w:t xml:space="preserve">Another lesson learnt from past election observation is the need for political parties to adhere to the electoral code of conduct.</w:t>
      </w:r>
      <w:r>
        <w:rPr/>
        <w:t xml:space="preserve"> </w:t>
      </w:r>
      <w:r>
        <w:rPr/>
        <w:t xml:space="preserve">These reports and analyses have also pointed to the Police as lacking professionalism and competence in their conduct during elections and that they need training in crowd management and human rights. Joint training/discussions between election stakeholders may be necessary to build a good understanding of roles and responsibilities during the election cycle and the general election. Beyond training, the Police have indicated the need to use modern technology to facilitate their role in securing elections such as the use of ICT in conflict risk analysis and rapid response management. The Judiciary also requires</w:t>
      </w:r>
      <w:r>
        <w:rPr/>
        <w:t xml:space="preserve"> </w:t>
      </w:r>
      <w:r>
        <w:rPr/>
        <w:t xml:space="preserve">support to improve the handling of election petitions through, inter alias, speedy hearings and appeal processes. Civil society and the media, on the other hand, requires support to increase their capacity to conduct nation</w:t>
      </w:r>
      <w:r>
        <w:rPr/>
        <w:t xml:space="preserve">-</w:t>
      </w:r>
      <w:r>
        <w:rPr/>
        <w:t xml:space="preserve">wide democracy and elections education and also contribute to conflict mitigation and peace building. In this context, an effective consultative process between the EMBs and CSOs is critical for ensuring complementarily</w:t>
      </w:r>
      <w:r>
        <w:rPr/>
        <w:t xml:space="preserve"> </w:t>
      </w:r>
      <w:r>
        <w:rPr/>
        <w:t xml:space="preserve">of efforts. </w:t>
      </w:r>
      <w:r>
        <w:rPr/>
        <w:t xml:space="preserve"> </w:t>
      </w:r>
    </w:p>
    <w:p>
      <w:pPr>
        <w:spacing w:before="0" w:after="218" w:line="259" w:lineRule="auto"/>
        <w:ind w:left="0" w:right="0" w:firstLine="0"/>
        <w:jc w:val="left"/>
      </w:pPr>
      <w:r>
        <w:rPr/>
        <w:t xml:space="preserve"> 	 </w:t>
      </w:r>
    </w:p>
    <w:p>
      <w:pPr>
        <w:pStyle w:val="heading2"/>
        <w:spacing w:before="0" w:after="44" w:line="249" w:lineRule="auto"/>
        <w:ind w:left="-5"/>
      </w:pPr>
      <w:r>
        <w:rPr/>
        <w:t xml:space="preserve">B.</w:t>
      </w:r>
      <w:r>
        <w:rPr/>
        <w:t xml:space="preserve">5. </w:t>
      </w:r>
      <w:r>
        <w:rPr/>
        <w:t xml:space="preserve">The role of the United Nations</w:t>
      </w:r>
      <w:r>
        <w:rPr/>
        <w:t xml:space="preserve"> </w:t>
      </w:r>
    </w:p>
    <w:p>
      <w:pPr>
        <w:spacing w:before="0" w:after="0" w:line="259" w:lineRule="auto"/>
        <w:ind w:left="0" w:right="0" w:firstLine="0"/>
        <w:jc w:val="left"/>
      </w:pPr>
      <w:r>
        <w:rPr>
          <w:rFonts w:cs="Arial" w:hAnsi="Arial" w:eastAsia="Arial" w:ascii="Arial"/>
          <w:b w:val="1"/>
        </w:rPr>
        <w:t xml:space="preserve"> </w:t>
      </w:r>
    </w:p>
    <w:p>
      <w:pPr>
        <w:pStyle w:val="normal"/>
        <w:spacing w:before="0" w:after="112" w:line="248" w:lineRule="auto"/>
        <w:ind w:left="-5" w:right="754"/>
      </w:pPr>
      <w:r>
        <w:rPr/>
        <w:t xml:space="preserve">The</w:t>
      </w:r>
      <w:r>
        <w:rPr/>
        <w:t xml:space="preserve"> </w:t>
      </w:r>
      <w:r>
        <w:rPr/>
        <w:t xml:space="preserve">UN and more specifically the UNDP has long supported Tanzania’s</w:t>
      </w:r>
      <w:r>
        <w:rPr/>
        <w:t xml:space="preserve"> </w:t>
      </w:r>
      <w:r>
        <w:rPr/>
        <w:t xml:space="preserve">democratization process and towards this end it has identified specific goals to improve the democratic environment in the country.  These include efforts to strengthen</w:t>
      </w:r>
      <w:r>
        <w:rPr/>
        <w:t xml:space="preserve"> </w:t>
      </w:r>
      <w:r>
        <w:rPr/>
        <w:t xml:space="preserve">key democratic institutions</w:t>
      </w:r>
      <w:r>
        <w:rPr/>
        <w:t xml:space="preserve"> </w:t>
      </w:r>
      <w:r>
        <w:rPr/>
        <w:t xml:space="preserve">to have improved capacity to fulfill their political and electoral functions</w:t>
      </w:r>
      <w:r>
        <w:rPr/>
        <w:t xml:space="preserve"> </w:t>
      </w:r>
      <w:r>
        <w:rPr/>
        <w:t xml:space="preserve">as provided for under UNDAP Outcome 7.</w:t>
      </w:r>
      <w:r>
        <w:rPr/>
        <w:t xml:space="preserve"> </w:t>
      </w:r>
      <w:r>
        <w:rPr/>
        <w:t xml:space="preserve">The UNDAP </w:t>
      </w:r>
      <w:r>
        <w:rPr/>
        <w:t xml:space="preserve">(2011-</w:t>
      </w:r>
      <w:r>
        <w:rPr/>
        <w:t xml:space="preserve">2015), </w:t>
      </w:r>
      <w:r>
        <w:rPr/>
        <w:t xml:space="preserve">which was developed following a comprehensive situation analysis and stakeholder consultations</w:t>
      </w:r>
      <w:r>
        <w:rPr/>
        <w:t xml:space="preserve">,</w:t>
      </w:r>
      <w:r>
        <w:rPr/>
        <w:t xml:space="preserve"> </w:t>
      </w:r>
      <w:r>
        <w:rPr/>
        <w:t xml:space="preserve">clearly identifies support to democratic development in its expected programming outcomes. It provides for strengthening the EMBs, modernizing</w:t>
      </w:r>
      <w:r>
        <w:rPr/>
        <w:t xml:space="preserve"> </w:t>
      </w:r>
      <w:r>
        <w:rPr/>
        <w:t xml:space="preserve">political parties</w:t>
      </w:r>
      <w:r>
        <w:rPr/>
        <w:t xml:space="preserve">,</w:t>
      </w:r>
      <w:r>
        <w:rPr/>
        <w:t xml:space="preserve"> </w:t>
      </w:r>
      <w:r>
        <w:rPr/>
        <w:t xml:space="preserve">supporting</w:t>
      </w:r>
      <w:r>
        <w:rPr/>
        <w:t xml:space="preserve"> </w:t>
      </w:r>
      <w:r>
        <w:rPr/>
        <w:t xml:space="preserve">the legislatures, and advancing women’s leadership, to mention but a few. Some of this work has already been undertaken during</w:t>
      </w:r>
      <w:r>
        <w:rPr/>
        <w:t xml:space="preserve"> </w:t>
      </w:r>
      <w:r>
        <w:rPr/>
        <w:t xml:space="preserve">the first UNDAP year (2011</w:t>
      </w:r>
      <w:r>
        <w:rPr/>
        <w:t xml:space="preserve">-</w:t>
      </w:r>
      <w:r>
        <w:rPr/>
        <w:t xml:space="preserve">2012) including the launch of a substantial Legislatures Support Project, UN Women’s work with women parliamentarians, and final 2010 election ESP activities including various studies in 2011.</w:t>
      </w:r>
      <w:r>
        <w:rPr/>
        <w:t xml:space="preserve"> </w:t>
      </w:r>
    </w:p>
    <w:p>
      <w:pPr>
        <w:pStyle w:val="normal"/>
        <w:spacing w:before="0" w:after="112" w:line="248" w:lineRule="auto"/>
        <w:ind w:left="-5" w:right="754"/>
      </w:pPr>
      <w:r>
        <w:rPr/>
        <w:t xml:space="preserve">The current project </w:t>
      </w:r>
      <w:r>
        <w:rPr/>
        <w:t xml:space="preserve">(</w:t>
      </w:r>
      <w:r>
        <w:rPr/>
        <w:t xml:space="preserve">DEP</w:t>
      </w:r>
      <w:r>
        <w:rPr/>
        <w:t xml:space="preserve">) </w:t>
      </w:r>
      <w:r>
        <w:rPr/>
        <w:t xml:space="preserve">will form</w:t>
      </w:r>
      <w:r>
        <w:rPr/>
        <w:t xml:space="preserve"> </w:t>
      </w:r>
      <w:r>
        <w:rPr/>
        <w:t xml:space="preserve">part</w:t>
      </w:r>
      <w:r>
        <w:rPr/>
        <w:t xml:space="preserve"> </w:t>
      </w:r>
      <w:r>
        <w:rPr/>
        <w:t xml:space="preserve">of the second and subsequent years of implementation of the UNDAP</w:t>
      </w:r>
      <w:r>
        <w:rPr/>
        <w:t xml:space="preserve"> </w:t>
      </w:r>
      <w:r>
        <w:rPr/>
        <w:t xml:space="preserve">and the UN</w:t>
      </w:r>
      <w:r>
        <w:rPr/>
        <w:t xml:space="preserve"> </w:t>
      </w:r>
      <w:r>
        <w:rPr/>
        <w:t xml:space="preserve">Common Country Programme Document (CCPD) which are based on the </w:t>
      </w:r>
      <w:r>
        <w:rPr/>
        <w:t xml:space="preserve">“</w:t>
      </w:r>
      <w:r>
        <w:rPr>
          <w:rFonts w:cs="Calibri" w:hAnsi="Calibri" w:eastAsia="Calibri" w:ascii="Calibri"/>
          <w:i w:val="1"/>
        </w:rPr>
        <w:t xml:space="preserve">UN Delivering As One approach</w:t>
      </w:r>
      <w:r>
        <w:rPr/>
        <w:t xml:space="preserve">”</w:t>
      </w:r>
      <w:r>
        <w:rPr/>
        <w:t xml:space="preserve">. </w:t>
      </w:r>
      <w:r>
        <w:rPr/>
        <w:t xml:space="preserve"> </w:t>
      </w:r>
      <w:r>
        <w:rPr/>
        <w:t xml:space="preserve">DEP will draw partial funding from the UNDAP One Fund and will also benefit from the One Fund Mechanism which provides</w:t>
      </w:r>
      <w:r>
        <w:rPr/>
        <w:t xml:space="preserve"> </w:t>
      </w:r>
      <w:r>
        <w:rPr/>
        <w:t xml:space="preserve">for robust Programme Results Matrix and </w:t>
      </w:r>
      <w:r>
        <w:rPr/>
        <w:t xml:space="preserve">Monitoring</w:t>
      </w:r>
      <w:r>
        <w:rPr/>
        <w:t xml:space="preserve"> </w:t>
      </w:r>
      <w:r>
        <w:rPr/>
        <w:t xml:space="preserve">and complementary Evaluation Matrix which includes indicators, baselines, targets and means of verification.</w:t>
      </w:r>
      <w:r>
        <w:rPr/>
        <w:t xml:space="preserve"> </w:t>
      </w:r>
    </w:p>
    <w:p>
      <w:pPr>
        <w:pStyle w:val="normal"/>
        <w:spacing w:before="0" w:after="112" w:line="248" w:lineRule="auto"/>
        <w:ind w:left="-5" w:right="754"/>
      </w:pPr>
      <w:r>
        <w:rPr/>
        <w:t xml:space="preserve">UNDP is well positioned and prepared to take the lead in managing and coordinating a new JDBF and DEP by drawing on lessons learned from previous projects, global and national experience, and</w:t>
      </w:r>
      <w:r>
        <w:rPr/>
        <w:t xml:space="preserve"> </w:t>
      </w:r>
      <w:r>
        <w:rPr/>
        <w:t xml:space="preserve">well</w:t>
      </w:r>
      <w:r>
        <w:rPr/>
        <w:t xml:space="preserve"> </w:t>
      </w:r>
      <w:r>
        <w:rPr/>
        <w:t xml:space="preserve">established partnerships with the election management bodies and others. As was the case with the earlier ESP, UNDP is also well placed to establish the necessary arrangements and provide expert personnel for the project’s Direct Implementation, taking into account the value of early recruitment and</w:t>
      </w:r>
      <w:r>
        <w:rPr/>
        <w:t xml:space="preserve"> </w:t>
      </w:r>
      <w:r>
        <w:rPr/>
        <w:t xml:space="preserve">project start up as learnt from</w:t>
      </w:r>
      <w:r>
        <w:rPr/>
        <w:t xml:space="preserve"> </w:t>
      </w:r>
      <w:r>
        <w:rPr/>
        <w:t xml:space="preserve">past experience and recommendations</w:t>
      </w:r>
      <w:r>
        <w:rPr/>
        <w:t xml:space="preserve"> </w:t>
      </w:r>
      <w:r>
        <w:rPr/>
        <w:t xml:space="preserve">from past election evaluations</w:t>
      </w:r>
      <w:r>
        <w:rPr/>
        <w:t xml:space="preserve">.</w:t>
      </w:r>
      <w:r>
        <w:rPr/>
        <w:t xml:space="preserve"> </w:t>
      </w:r>
    </w:p>
    <w:p>
      <w:pPr>
        <w:pStyle w:val="normal"/>
        <w:spacing w:before="0" w:after="112" w:line="248" w:lineRule="auto"/>
        <w:ind w:left="-5" w:right="754"/>
      </w:pPr>
      <w:r>
        <w:rPr/>
        <w:t xml:space="preserve">Apart from the role of</w:t>
      </w:r>
      <w:r>
        <w:rPr/>
        <w:t xml:space="preserve"> </w:t>
      </w:r>
      <w:r>
        <w:rPr/>
        <w:t xml:space="preserve">UNDP in managing and coordinating the</w:t>
      </w:r>
      <w:r>
        <w:rPr/>
        <w:t xml:space="preserve"> </w:t>
      </w:r>
      <w:r>
        <w:rPr/>
        <w:t xml:space="preserve">JDBF, other UN agencies are expected to make a contribution to the successful implementation of the project</w:t>
      </w:r>
      <w:r>
        <w:rPr/>
        <w:t xml:space="preserve"> </w:t>
      </w:r>
      <w:r>
        <w:rPr/>
        <w:t xml:space="preserve">in country: these include</w:t>
      </w:r>
      <w:r>
        <w:rPr/>
        <w:t xml:space="preserve"> </w:t>
      </w:r>
      <w:r>
        <w:rPr/>
        <w:t xml:space="preserve">UNESCO and UN Women</w:t>
      </w:r>
      <w:r>
        <w:rPr/>
        <w:t xml:space="preserve">, </w:t>
      </w:r>
      <w:r>
        <w:rPr/>
        <w:t xml:space="preserve">the advice of the UN Electoral Assistance Department and other HQ offices, all of whom have key strategic roles to play in advising on policy matters and contributing technical services for the successful implementation of the project. </w:t>
      </w:r>
      <w:r>
        <w:rPr/>
        <w:t xml:space="preserve"> </w:t>
      </w:r>
    </w:p>
    <w:p>
      <w:pPr>
        <w:pStyle w:val="normal"/>
        <w:spacing w:before="0" w:after="112" w:line="248" w:lineRule="auto"/>
        <w:ind w:left="-5" w:right="754"/>
      </w:pPr>
      <w:r>
        <w:rPr/>
        <w:t xml:space="preserve">DEP is</w:t>
      </w:r>
      <w:r>
        <w:rPr/>
        <w:t xml:space="preserve"> </w:t>
      </w:r>
      <w:r>
        <w:rPr/>
        <w:t xml:space="preserve">an integral element of UN</w:t>
      </w:r>
      <w:r>
        <w:rPr/>
        <w:t xml:space="preserve"> </w:t>
      </w:r>
      <w:r>
        <w:rPr/>
        <w:t xml:space="preserve">Tanzania country programmme</w:t>
      </w:r>
      <w:r>
        <w:rPr/>
        <w:t xml:space="preserve"> </w:t>
      </w:r>
      <w:r>
        <w:rPr/>
        <w:t xml:space="preserve">and responds</w:t>
      </w:r>
      <w:r>
        <w:rPr/>
        <w:t xml:space="preserve"> </w:t>
      </w:r>
      <w:r>
        <w:rPr/>
        <w:t xml:space="preserve">to the democratic and electoral challenges facing both the Union and Zanzibar. It will kindle a partnership of like</w:t>
      </w:r>
      <w:r>
        <w:rPr/>
        <w:t xml:space="preserve"/>
      </w:r>
      <w:r>
        <w:rPr/>
        <w:t xml:space="preserve">minded donors committed to consolidating democracy over a project cycle congruent with referenda and general elections of 2014 and 2015, respectively</w:t>
      </w:r>
      <w:r>
        <w:rPr/>
        <w:t xml:space="preserve">. </w:t>
      </w:r>
      <w:r>
        <w:rPr/>
        <w:t xml:space="preserve"> </w:t>
      </w:r>
    </w:p>
    <w:p>
      <w:pPr>
        <w:pStyle w:val="normal"/>
        <w:spacing w:before="0" w:after="109" w:line="248" w:lineRule="auto"/>
        <w:ind w:left="-5" w:right="754"/>
      </w:pPr>
      <w:r>
        <w:rPr/>
        <w:t xml:space="preserve">Apart from UNDP contributions, DEP will be based on existing commitments and pledges by donors including Norway and Sweden (One Fund, earmark) and the UK (DFID), the EU, Canada (CIDA</w:t>
      </w:r>
      <w:r>
        <w:rPr/>
        <w:t xml:space="preserve">) </w:t>
      </w:r>
      <w:r>
        <w:rPr/>
        <w:t xml:space="preserve">and Denmark and Switzerland. This project</w:t>
      </w:r>
      <w:r>
        <w:rPr/>
        <w:t xml:space="preserve"> </w:t>
      </w:r>
      <w:r>
        <w:rPr/>
        <w:t xml:space="preserve">demonstrates compliance by donors to the </w:t>
      </w:r>
      <w:r>
        <w:rPr>
          <w:rFonts w:cs="Calibri" w:hAnsi="Calibri" w:eastAsia="Calibri" w:ascii="Calibri"/>
          <w:i w:val="1"/>
        </w:rPr>
        <w:t xml:space="preserve">Rome Agreement on Harmonization</w:t>
      </w:r>
      <w:r>
        <w:rPr/>
        <w:t xml:space="preserve"> </w:t>
      </w:r>
      <w:r>
        <w:rPr/>
        <w:t xml:space="preserve">(February 2003); the Paris </w:t>
      </w:r>
      <w:r>
        <w:rPr>
          <w:rFonts w:cs="Calibri" w:hAnsi="Calibri" w:eastAsia="Calibri" w:ascii="Calibri"/>
          <w:i w:val="1"/>
        </w:rPr>
        <w:t xml:space="preserve">Declaration on Aid Effectiveness</w:t>
      </w:r>
      <w:r>
        <w:rPr/>
        <w:t xml:space="preserve"> </w:t>
      </w:r>
      <w:r>
        <w:rPr/>
        <w:t xml:space="preserve">(March 2005); the </w:t>
      </w:r>
      <w:r>
        <w:rPr>
          <w:rFonts w:cs="Calibri" w:hAnsi="Calibri" w:eastAsia="Calibri" w:ascii="Calibri"/>
          <w:i w:val="1"/>
        </w:rPr>
        <w:t xml:space="preserve">Gleneagles Commitment to ‘More Aid, Better Aid’</w:t>
      </w:r>
      <w:r>
        <w:rPr/>
        <w:t xml:space="preserve"> </w:t>
      </w:r>
      <w:r>
        <w:rPr/>
        <w:t xml:space="preserve">(July 2005); the </w:t>
      </w:r>
      <w:r>
        <w:rPr>
          <w:rFonts w:cs="Calibri" w:hAnsi="Calibri" w:eastAsia="Calibri" w:ascii="Calibri"/>
          <w:i w:val="1"/>
        </w:rPr>
        <w:t xml:space="preserve">Accra Agenda for Action</w:t>
      </w:r>
      <w:r>
        <w:rPr/>
        <w:t xml:space="preserve"> </w:t>
      </w:r>
      <w:r>
        <w:rPr/>
        <w:t xml:space="preserve">(September 2008)</w:t>
      </w:r>
      <w:r>
        <w:rPr/>
        <w:t xml:space="preserve">--</w:t>
      </w:r>
      <w:r>
        <w:rPr/>
        <w:t xml:space="preserve">international protocols that espouse the principle of increased, harmonized</w:t>
      </w:r>
      <w:r>
        <w:rPr/>
        <w:t xml:space="preserve"> </w:t>
      </w:r>
      <w:r>
        <w:rPr/>
        <w:t xml:space="preserve">ODA aligned with the priorities of recipient countries. </w:t>
      </w:r>
      <w:r>
        <w:rPr/>
        <w:t xml:space="preserve"> </w:t>
      </w:r>
    </w:p>
    <w:p>
      <w:pPr>
        <w:spacing w:before="0" w:after="338" w:line="259" w:lineRule="auto"/>
        <w:ind w:left="0" w:right="0" w:firstLine="0"/>
        <w:jc w:val="left"/>
      </w:pPr>
      <w:r>
        <w:rPr>
          <w:rFonts w:cs="Calibri" w:hAnsi="Calibri" w:eastAsia="Calibri" w:ascii="Calibri"/>
          <w:b w:val="1"/>
        </w:rPr>
        <w:t xml:space="preserve"> </w:t>
      </w:r>
    </w:p>
    <w:p>
      <w:pPr>
        <w:pStyle w:val="heading1"/>
        <w:spacing w:before="0" w:after="38" w:line="259" w:lineRule="auto"/>
        <w:ind w:left="-4" w:right="0"/>
      </w:pPr>
      <w:r>
        <w:rPr/>
        <w:t xml:space="preserve">C. </w:t>
      </w:r>
      <w:r>
        <w:rPr/>
        <w:t xml:space="preserve"> </w:t>
      </w:r>
      <w:r>
        <w:rPr/>
        <w:t xml:space="preserve">PROJECT STRATEGY AND JUSTIFICATION</w:t>
      </w:r>
      <w:r>
        <w:rPr/>
        <w:t xml:space="preserve"> </w:t>
      </w:r>
    </w:p>
    <w:p>
      <w:pPr>
        <w:spacing w:before="0" w:after="271" w:line="259" w:lineRule="auto"/>
        <w:ind w:left="360" w:right="0" w:firstLine="0"/>
        <w:jc w:val="left"/>
      </w:pPr>
      <w:r>
        <w:rPr/>
        <w:t xml:space="preserve"> </w:t>
      </w:r>
    </w:p>
    <w:p>
      <w:pPr>
        <w:pStyle w:val="heading2"/>
        <w:tabs>
          <w:tab w:val="center" w:pos="988"/>
        </w:tabs>
        <w:spacing w:before="0" w:after="44" w:line="249" w:lineRule="auto"/>
        <w:ind w:left="-15" w:firstLine="0"/>
      </w:pPr>
      <w:r>
        <w:rPr/>
        <w:t xml:space="preserve">C.1</w:t>
      </w:r>
      <w:r>
        <w:rPr/>
        <w:t xml:space="preserve"> 	</w:t>
      </w:r>
      <w:r>
        <w:rPr/>
        <w:t xml:space="preserve">Scope </w:t>
      </w:r>
      <w:r>
        <w:rPr/>
        <w:t xml:space="preserve"> </w:t>
      </w:r>
    </w:p>
    <w:p>
      <w:pPr>
        <w:spacing w:before="0" w:after="0" w:line="259" w:lineRule="auto"/>
        <w:ind w:left="0" w:right="0" w:firstLine="0"/>
        <w:jc w:val="left"/>
      </w:pPr>
      <w:r>
        <w:rPr>
          <w:rFonts w:cs="Calibri" w:hAnsi="Calibri" w:eastAsia="Calibri" w:ascii="Calibri"/>
          <w:b w:val="1"/>
        </w:rPr>
        <w:t xml:space="preserve"> </w:t>
      </w:r>
    </w:p>
    <w:p>
      <w:pPr>
        <w:pStyle w:val="normal"/>
        <w:spacing w:before="0" w:after="191" w:line="248" w:lineRule="auto"/>
        <w:ind w:left="-5" w:right="754"/>
      </w:pPr>
      <w:r>
        <w:rPr/>
        <w:t xml:space="preserve">The project takes as its point of departure the premise that in order to be effective and sustainable it must assume a broader role</w:t>
      </w:r>
      <w:r>
        <w:rPr/>
        <w:t xml:space="preserve"> </w:t>
      </w:r>
      <w:r>
        <w:rPr/>
        <w:t xml:space="preserve">of supporting several actors in the democracy building arena, both in Mainland and Zanzibar alike. Towards this end, the following democratic institutions have been identified for support: Electoral Management Bodies, i.e. NEC and ZEC; the CRC and RPP (in</w:t>
      </w:r>
      <w:r>
        <w:rPr/>
        <w:t xml:space="preserve"> </w:t>
      </w:r>
      <w:r>
        <w:rPr/>
        <w:t xml:space="preserve">terms of supporting electoral reform and inclusive participation and issues of</w:t>
      </w:r>
      <w:r>
        <w:rPr/>
        <w:t xml:space="preserve"> </w:t>
      </w:r>
      <w:r>
        <w:rPr/>
        <w:t xml:space="preserve">gender, youth and PWDs</w:t>
      </w:r>
      <w:r>
        <w:rPr/>
        <w:t xml:space="preserve"> </w:t>
      </w:r>
      <w:r>
        <w:rPr/>
        <w:t xml:space="preserve">and fostering sustainable electoral processes through technical and operational support and capacity building); Political Parties; Civic Society</w:t>
      </w:r>
      <w:r>
        <w:rPr/>
        <w:t xml:space="preserve"> </w:t>
      </w:r>
      <w:r>
        <w:rPr/>
        <w:t xml:space="preserve">and Media for effective engagement with democratic processes through dialogue and peace building</w:t>
      </w:r>
      <w:r>
        <w:rPr/>
        <w:t xml:space="preserve"> </w:t>
      </w:r>
      <w:r>
        <w:rPr/>
        <w:t xml:space="preserve">initiatives</w:t>
      </w:r>
      <w:r>
        <w:rPr/>
        <w:t xml:space="preserve">. </w:t>
      </w:r>
      <w:r>
        <w:rPr/>
        <w:t xml:space="preserve"> </w:t>
      </w:r>
      <w:r>
        <w:rPr/>
        <w:t xml:space="preserve">The project will also support the Police and the Judiciary to effectively contribute to election</w:t>
      </w:r>
      <w:r>
        <w:rPr/>
        <w:t xml:space="preserve">-</w:t>
      </w:r>
      <w:r>
        <w:rPr/>
        <w:t xml:space="preserve">related conflict mitigation and dispute resolution. A gender equality perspective will be mainstreamed through all areas.</w:t>
      </w:r>
      <w:r>
        <w:rPr/>
        <w:t xml:space="preserve"> </w:t>
      </w:r>
    </w:p>
    <w:p>
      <w:pPr>
        <w:pStyle w:val="heading3"/>
        <w:spacing w:before="0" w:after="224" w:line="249" w:lineRule="auto"/>
        <w:ind w:left="-5"/>
      </w:pPr>
      <w:r>
        <w:rPr/>
        <w:t xml:space="preserve">C.1.1. Focused and Systematic Approach</w:t>
      </w:r>
      <w:r>
        <w:rPr/>
        <w:t xml:space="preserve"> </w:t>
      </w:r>
    </w:p>
    <w:p>
      <w:pPr>
        <w:pStyle w:val="normal"/>
        <w:spacing w:before="0" w:after="303" w:line="248" w:lineRule="auto"/>
        <w:ind w:left="-5" w:right="754"/>
      </w:pPr>
      <w:r>
        <w:rPr/>
        <w:t xml:space="preserve">The project will have a focused and systematic approach in identifying its beneficiaries and collaborators. For example, the project will only support political parties in relation to their interface with elections and the EMBs in order to improve EMB</w:t>
      </w:r>
      <w:r>
        <w:rPr/>
        <w:t xml:space="preserve">-</w:t>
      </w:r>
      <w:r>
        <w:rPr/>
        <w:t xml:space="preserve">political parties relationship for credible elections, strengthen</w:t>
      </w:r>
      <w:r>
        <w:rPr/>
        <w:t xml:space="preserve"> </w:t>
      </w:r>
      <w:r>
        <w:rPr/>
        <w:t xml:space="preserve">dialogue for peace and democracy and foster</w:t>
      </w:r>
      <w:r>
        <w:rPr/>
        <w:t xml:space="preserve"> </w:t>
      </w:r>
      <w:r>
        <w:rPr/>
        <w:t xml:space="preserve">women’s empowerment and </w:t>
      </w:r>
      <w:r>
        <w:rPr/>
        <w:t xml:space="preserve">gender equality within political party structures. Aspects of general political party development</w:t>
      </w:r>
      <w:r>
        <w:rPr/>
        <w:t xml:space="preserve"> </w:t>
      </w:r>
      <w:r>
        <w:rPr/>
        <w:t xml:space="preserve">may</w:t>
      </w:r>
      <w:r>
        <w:rPr/>
        <w:t xml:space="preserve"> </w:t>
      </w:r>
      <w:r>
        <w:rPr/>
        <w:t xml:space="preserve">be catered for outside this JDBF under a mechanism to be agreed upon especially among DPs and relevant national stakeholders.</w:t>
      </w:r>
      <w:r>
        <w:rPr/>
        <w:t xml:space="preserve">  </w:t>
      </w:r>
      <w:r>
        <w:rPr/>
        <w:t xml:space="preserve">The same approach will also apply in relation to</w:t>
      </w:r>
      <w:r>
        <w:rPr/>
        <w:t xml:space="preserve"> </w:t>
      </w:r>
      <w:r>
        <w:rPr/>
        <w:t xml:space="preserve">media and civil society</w:t>
      </w:r>
      <w:r>
        <w:rPr/>
        <w:t xml:space="preserve"> </w:t>
      </w:r>
      <w:r>
        <w:rPr/>
        <w:t xml:space="preserve">support: the project will support civil society and media only as far as their interface with the EMB and elections is concerned: i.e. joint implementation of voter education and also EMB accreditation of observers</w:t>
      </w:r>
      <w:r>
        <w:rPr/>
        <w:t xml:space="preserve">.  </w:t>
      </w:r>
      <w:r>
        <w:rPr/>
        <w:t xml:space="preserve">Media monitoring will be excluded from the DEP purview.</w:t>
      </w:r>
      <w:r>
        <w:rPr/>
        <w:t xml:space="preserve"> </w:t>
      </w:r>
    </w:p>
    <w:p>
      <w:pPr>
        <w:pStyle w:val="heading2"/>
        <w:spacing w:before="0" w:after="9" w:line="249" w:lineRule="auto"/>
        <w:ind w:left="-5"/>
      </w:pPr>
      <w:r>
        <w:rPr/>
        <w:t xml:space="preserve">C.2</w:t>
      </w:r>
      <w:r>
        <w:rPr/>
        <w:t xml:space="preserve">.</w:t>
      </w:r>
      <w:r>
        <w:rPr/>
        <w:t xml:space="preserve"> </w:t>
      </w:r>
      <w:r>
        <w:rPr/>
        <w:t xml:space="preserve">Using</w:t>
      </w:r>
      <w:r>
        <w:rPr/>
        <w:t xml:space="preserve"> </w:t>
      </w:r>
      <w:r>
        <w:rPr/>
        <w:t xml:space="preserve">the Electoral</w:t>
      </w:r>
      <w:r>
        <w:rPr>
          <w:sz w:val="32"/>
        </w:rPr>
        <w:t xml:space="preserve"> </w:t>
      </w:r>
      <w:r>
        <w:rPr/>
        <w:t xml:space="preserve">Cycle Approach (ECA)</w:t>
      </w:r>
      <w:r>
        <w:rPr>
          <w:sz w:val="32"/>
        </w:rPr>
        <w:t xml:space="preserve"> </w:t>
      </w:r>
    </w:p>
    <w:p>
      <w:pPr>
        <w:spacing w:before="0" w:after="177" w:line="259" w:lineRule="auto"/>
        <w:ind w:left="0" w:right="0" w:firstLine="0"/>
        <w:jc w:val="left"/>
      </w:pPr>
      <w:r>
        <w:rPr/>
        <w:t xml:space="preserve"> </w:t>
      </w:r>
    </w:p>
    <w:p>
      <w:pPr>
        <w:pStyle w:val="normal"/>
        <w:spacing w:before="0" w:after="191" w:line="248" w:lineRule="auto"/>
        <w:ind w:left="-5" w:right="754"/>
      </w:pPr>
      <w:r>
        <w:rPr/>
        <w:t xml:space="preserve">Embracing the</w:t>
      </w:r>
      <w:r>
        <w:rPr/>
        <w:t xml:space="preserve"> </w:t>
      </w:r>
      <w:r>
        <w:rPr/>
        <w:t xml:space="preserve">electoral cycle approach</w:t>
      </w:r>
      <w:r>
        <w:rPr/>
        <w:t xml:space="preserve"> </w:t>
      </w:r>
      <w:r>
        <w:rPr/>
        <w:t xml:space="preserve">(ECA) will enable DEP</w:t>
      </w:r>
      <w:r>
        <w:rPr/>
        <w:t xml:space="preserve"> </w:t>
      </w:r>
      <w:r>
        <w:rPr/>
        <w:t xml:space="preserve">to focus interventions based on multi</w:t>
      </w:r>
      <w:r>
        <w:rPr/>
        <w:t xml:space="preserve"/>
      </w:r>
      <w:r>
        <w:rPr/>
        <w:t xml:space="preserve">level, multi</w:t>
      </w:r>
      <w:r>
        <w:rPr/>
        <w:t xml:space="preserve">-</w:t>
      </w:r>
      <w:r>
        <w:rPr/>
        <w:t xml:space="preserve">dimensional and multi</w:t>
      </w:r>
      <w:r>
        <w:rPr/>
        <w:t xml:space="preserve">-</w:t>
      </w:r>
      <w:r>
        <w:rPr/>
        <w:t xml:space="preserve">institutional frameworks.  Based on the ECA, the project strategy will entail interventions which will commence during the pre</w:t>
      </w:r>
      <w:r>
        <w:rPr/>
        <w:t xml:space="preserve">-</w:t>
      </w:r>
      <w:r>
        <w:rPr/>
        <w:t xml:space="preserve">voting period</w:t>
      </w:r>
      <w:r>
        <w:rPr/>
        <w:t xml:space="preserve"> </w:t>
      </w:r>
      <w:r>
        <w:rPr/>
        <w:t xml:space="preserve">and</w:t>
      </w:r>
      <w:r>
        <w:rPr/>
        <w:t xml:space="preserve"> </w:t>
      </w:r>
      <w:r>
        <w:rPr/>
        <w:t xml:space="preserve">specifically seek to support broad</w:t>
      </w:r>
      <w:r>
        <w:rPr/>
        <w:t xml:space="preserve">-</w:t>
      </w:r>
      <w:r>
        <w:rPr/>
        <w:t xml:space="preserve">based legal reform and enhance capacities of relevant institutions through training and professional development.  Using the ECA will assist the DEP to engage a with broad range of actors, NEC</w:t>
      </w:r>
      <w:r>
        <w:rPr/>
        <w:t xml:space="preserve"> </w:t>
      </w:r>
      <w:r>
        <w:rPr/>
        <w:t xml:space="preserve">and ZEC,</w:t>
      </w:r>
      <w:r>
        <w:rPr/>
        <w:t xml:space="preserve"> </w:t>
      </w:r>
      <w:r>
        <w:rPr/>
        <w:t xml:space="preserve">Political Parties, Civil Society, Media and Women’s Organizations to support their reform and capacity building initiatives, and to help them engage effectively with the electoral process especially during the election period.</w:t>
      </w:r>
      <w:r>
        <w:rPr/>
        <w:t xml:space="preserve"> </w:t>
      </w:r>
      <w:r>
        <w:rPr/>
        <w:t xml:space="preserve">The project will engage in supporting these actors in two phases: the first phase being support to the referendum in the initial </w:t>
      </w:r>
      <w:r>
        <w:rPr/>
        <w:t xml:space="preserve">16</w:t>
      </w:r>
      <w:r>
        <w:rPr/>
        <w:t xml:space="preserve"> </w:t>
      </w:r>
      <w:r>
        <w:rPr/>
        <w:t xml:space="preserve">months (i.e. January2013</w:t>
      </w:r>
      <w:r>
        <w:rPr/>
        <w:t xml:space="preserve">- </w:t>
      </w:r>
      <w:r>
        <w:rPr/>
        <w:t xml:space="preserve">April </w:t>
      </w:r>
      <w:r>
        <w:rPr/>
        <w:t xml:space="preserve">2014) </w:t>
      </w:r>
      <w:r>
        <w:rPr/>
        <w:t xml:space="preserve">which is also the pre</w:t>
      </w:r>
      <w:r>
        <w:rPr/>
        <w:t xml:space="preserve">-</w:t>
      </w:r>
      <w:r>
        <w:rPr/>
        <w:t xml:space="preserve">election phase and the election phase which is </w:t>
      </w:r>
      <w:r>
        <w:rPr/>
        <w:t xml:space="preserve">25</w:t>
      </w:r>
      <w:r>
        <w:rPr/>
        <w:t xml:space="preserve"> </w:t>
      </w:r>
      <w:r>
        <w:rPr/>
        <w:t xml:space="preserve">months (May</w:t>
      </w:r>
      <w:r>
        <w:rPr/>
        <w:t xml:space="preserve"> </w:t>
      </w:r>
      <w:r>
        <w:rPr/>
        <w:t xml:space="preserve">2014</w:t>
      </w:r>
      <w:r>
        <w:rPr/>
        <w:t xml:space="preserve">- </w:t>
      </w:r>
      <w:r>
        <w:rPr/>
        <w:t xml:space="preserve">June 2016) in preparation for the</w:t>
      </w:r>
      <w:r>
        <w:rPr/>
        <w:t xml:space="preserve"> </w:t>
      </w:r>
      <w:r>
        <w:rPr/>
        <w:t xml:space="preserve">October 2015 general elections and beyond.</w:t>
      </w:r>
      <w:r>
        <w:rPr/>
        <w:t xml:space="preserve"> </w:t>
      </w:r>
    </w:p>
    <w:p>
      <w:pPr>
        <w:pStyle w:val="normal"/>
        <w:spacing w:before="0" w:after="110" w:line="248" w:lineRule="auto"/>
        <w:ind w:left="-5" w:right="754"/>
      </w:pPr>
      <w:r>
        <w:rPr/>
        <w:t xml:space="preserve">Development Partners, too, are committed to strengthening democracy through the election cycle and have signaled early interest in both election cycle support in the lead up to and possible support to the 2015 general election including the constitutional referendum.</w:t>
      </w:r>
      <w:r>
        <w:rPr/>
        <w:t xml:space="preserve"> </w:t>
      </w:r>
    </w:p>
    <w:p>
      <w:pPr>
        <w:pStyle w:val="normal"/>
        <w:spacing w:before="0" w:after="34" w:line="248" w:lineRule="auto"/>
        <w:ind w:left="-5" w:right="754"/>
      </w:pPr>
      <w:r>
        <w:rPr/>
        <w:t xml:space="preserve">Other principles and practices which will underscore the DEP</w:t>
      </w:r>
      <w:r>
        <w:rPr/>
        <w:t xml:space="preserve"> </w:t>
      </w:r>
      <w:r>
        <w:rPr/>
        <w:t xml:space="preserve">strategy and approach include:</w:t>
      </w:r>
      <w:r>
        <w:rPr/>
        <w:t xml:space="preserve"> </w:t>
      </w:r>
    </w:p>
    <w:p>
      <w:pPr>
        <w:pStyle w:val="normal"/>
        <w:numPr>
          <w:ilvl w:val="0"/>
          <w:numId w:val="4"/>
        </w:numPr>
        <w:spacing w:before="0" w:after="38" w:line="248" w:lineRule="auto"/>
        <w:ind w:left="720" w:right="754" w:hanging="360"/>
      </w:pPr>
      <w:r>
        <w:rPr/>
        <w:t xml:space="preserve">Foster national leadership and ownership of project activities and put more emphasis on the use of national expertise to drive and facilitate activity implementation. </w:t>
      </w:r>
      <w:r>
        <w:rPr/>
        <w:t xml:space="preserve"> </w:t>
      </w:r>
    </w:p>
    <w:p>
      <w:pPr>
        <w:pStyle w:val="normal"/>
        <w:numPr>
          <w:ilvl w:val="0"/>
          <w:numId w:val="4"/>
        </w:numPr>
        <w:spacing w:before="0" w:after="38" w:line="248" w:lineRule="auto"/>
        <w:ind w:left="720" w:right="754" w:hanging="360"/>
      </w:pPr>
      <w:r>
        <w:rPr/>
        <w:t xml:space="preserve">Ensure benefits from the UN global knowledge network to access expert technical skills, lessons</w:t>
      </w:r>
      <w:r>
        <w:rPr/>
        <w:t xml:space="preserve"> </w:t>
      </w:r>
      <w:r>
        <w:rPr/>
        <w:t xml:space="preserve">learnt,</w:t>
      </w:r>
      <w:r>
        <w:rPr/>
        <w:t xml:space="preserve"> </w:t>
      </w:r>
      <w:r>
        <w:rPr/>
        <w:t xml:space="preserve">and value for money products. </w:t>
      </w:r>
      <w:r>
        <w:rPr/>
        <w:t xml:space="preserve"> </w:t>
      </w:r>
    </w:p>
    <w:p>
      <w:pPr>
        <w:pStyle w:val="normal"/>
        <w:numPr>
          <w:ilvl w:val="0"/>
          <w:numId w:val="4"/>
        </w:numPr>
        <w:spacing w:before="0" w:after="38" w:line="248" w:lineRule="auto"/>
        <w:ind w:left="720" w:right="754" w:hanging="360"/>
      </w:pPr>
      <w:r>
        <w:rPr/>
        <w:t xml:space="preserve">Introduce specific, measureable, achievable, realistic and time bound (SMART) indicators and targets</w:t>
      </w:r>
      <w:r>
        <w:rPr/>
        <w:t xml:space="preserve"> </w:t>
      </w:r>
    </w:p>
    <w:p>
      <w:pPr>
        <w:pStyle w:val="normal"/>
        <w:numPr>
          <w:ilvl w:val="0"/>
          <w:numId w:val="4"/>
        </w:numPr>
        <w:spacing w:before="0" w:after="38" w:line="248" w:lineRule="auto"/>
        <w:ind w:left="720" w:right="754" w:hanging="360"/>
      </w:pPr>
      <w:r>
        <w:rPr/>
        <w:t xml:space="preserve">Improve coordination, communication</w:t>
      </w:r>
      <w:r>
        <w:rPr/>
        <w:t xml:space="preserve"> </w:t>
      </w:r>
      <w:r>
        <w:rPr/>
        <w:t xml:space="preserve">and clearly define roles at all levels of project management</w:t>
      </w:r>
      <w:r>
        <w:rPr/>
        <w:t xml:space="preserve"> </w:t>
      </w:r>
      <w:r>
        <w:rPr/>
        <w:t xml:space="preserve">and strengthen the</w:t>
      </w:r>
      <w:r>
        <w:rPr/>
        <w:t xml:space="preserve"> </w:t>
      </w:r>
      <w:r>
        <w:rPr/>
        <w:t xml:space="preserve">working of project management structures according to their distinct roles and responsibilities</w:t>
      </w:r>
      <w:r>
        <w:rPr/>
        <w:t xml:space="preserve"> </w:t>
      </w:r>
    </w:p>
    <w:p>
      <w:pPr>
        <w:pStyle w:val="normal"/>
        <w:numPr>
          <w:ilvl w:val="0"/>
          <w:numId w:val="4"/>
        </w:numPr>
        <w:spacing w:before="0" w:after="39" w:line="248" w:lineRule="auto"/>
        <w:ind w:left="720" w:right="754" w:hanging="360"/>
      </w:pPr>
      <w:r>
        <w:rPr/>
        <w:t xml:space="preserve">Produce  well</w:t>
      </w:r>
      <w:r>
        <w:rPr/>
        <w:t xml:space="preserve">-</w:t>
      </w:r>
      <w:r>
        <w:rPr/>
        <w:t xml:space="preserve">defined and articulated Annual Work Plans based on available funds or firm commitments</w:t>
      </w:r>
      <w:r>
        <w:rPr/>
        <w:t xml:space="preserve"> </w:t>
      </w:r>
    </w:p>
    <w:p>
      <w:pPr>
        <w:pStyle w:val="normal"/>
        <w:numPr>
          <w:ilvl w:val="0"/>
          <w:numId w:val="4"/>
        </w:numPr>
        <w:spacing w:before="0" w:after="38" w:line="248" w:lineRule="auto"/>
        <w:ind w:left="720" w:right="754" w:hanging="360"/>
      </w:pPr>
      <w:r>
        <w:rPr/>
        <w:t xml:space="preserve">Foster transparent and efficient recruitment</w:t>
      </w:r>
      <w:r>
        <w:rPr/>
        <w:t xml:space="preserve"> </w:t>
      </w:r>
      <w:r>
        <w:rPr/>
        <w:t xml:space="preserve">of staff to suit job profiles</w:t>
      </w:r>
      <w:r>
        <w:rPr/>
        <w:t xml:space="preserve"> </w:t>
      </w:r>
      <w:r>
        <w:rPr/>
        <w:t xml:space="preserve">and skills requirements</w:t>
      </w:r>
      <w:r>
        <w:rPr/>
        <w:t xml:space="preserve"> </w:t>
      </w:r>
    </w:p>
    <w:p>
      <w:pPr>
        <w:pStyle w:val="normal"/>
        <w:numPr>
          <w:ilvl w:val="0"/>
          <w:numId w:val="4"/>
        </w:numPr>
        <w:spacing w:before="0" w:after="3" w:line="248" w:lineRule="auto"/>
        <w:ind w:left="720" w:right="754" w:hanging="360"/>
      </w:pPr>
      <w:r>
        <w:rPr/>
        <w:t xml:space="preserve">Develop clear strategies at all stages of project implementation </w:t>
      </w:r>
      <w:r>
        <w:rPr/>
        <w:t xml:space="preserve"> </w:t>
      </w:r>
    </w:p>
    <w:p>
      <w:pPr>
        <w:pStyle w:val="normal"/>
        <w:numPr>
          <w:ilvl w:val="0"/>
          <w:numId w:val="4"/>
        </w:numPr>
        <w:spacing w:before="0" w:after="3" w:line="248" w:lineRule="auto"/>
        <w:ind w:left="720" w:right="754" w:hanging="360"/>
      </w:pPr>
      <w:r>
        <w:rPr/>
        <w:t xml:space="preserve">Improve protocols for engagement and collaboration with national actors and also donors within and outside the JDBF to ensure open communication and free flow of information on electoral assistance in general</w:t>
      </w:r>
      <w:r>
        <w:rPr/>
        <w:t xml:space="preserve"> </w:t>
      </w:r>
    </w:p>
    <w:p>
      <w:pPr>
        <w:spacing w:before="0" w:after="350" w:line="259" w:lineRule="auto"/>
        <w:ind w:left="720" w:right="0" w:firstLine="0"/>
        <w:jc w:val="left"/>
      </w:pPr>
      <w:r>
        <w:rPr/>
        <w:t xml:space="preserve"> </w:t>
      </w:r>
    </w:p>
    <w:p>
      <w:pPr>
        <w:pStyle w:val="heading2"/>
        <w:spacing w:before="0" w:after="44" w:line="249" w:lineRule="auto"/>
        <w:ind w:left="-5"/>
      </w:pPr>
      <w:r>
        <w:rPr/>
        <w:t xml:space="preserve">C.</w:t>
      </w:r>
      <w:r>
        <w:rPr/>
        <w:t xml:space="preserve">3 </w:t>
      </w:r>
      <w:r>
        <w:rPr/>
        <w:t xml:space="preserve">  </w:t>
      </w:r>
      <w:r>
        <w:rPr/>
        <w:t xml:space="preserve">Justification</w:t>
      </w:r>
      <w:r>
        <w:rPr/>
        <w:t xml:space="preserve"> </w:t>
      </w:r>
    </w:p>
    <w:p>
      <w:pPr>
        <w:spacing w:before="0" w:after="0" w:line="259" w:lineRule="auto"/>
        <w:ind w:left="0" w:right="0" w:firstLine="0"/>
        <w:jc w:val="left"/>
      </w:pPr>
      <w:r>
        <w:rPr>
          <w:rFonts w:cs="Calibri" w:hAnsi="Calibri" w:eastAsia="Calibri" w:ascii="Calibri"/>
          <w:b w:val="1"/>
        </w:rPr>
        <w:t xml:space="preserve"> </w:t>
      </w:r>
    </w:p>
    <w:p>
      <w:pPr>
        <w:pStyle w:val="normal"/>
        <w:spacing w:before="0" w:after="188" w:line="248" w:lineRule="auto"/>
        <w:ind w:left="-5" w:right="754"/>
      </w:pPr>
      <w:r>
        <w:rPr/>
        <w:t xml:space="preserve">Tanzania, the largest democracy in East Africa, has shown commitment to democratic reform through a number of measures and initiatives including the current ongoing constitutional reform process. The</w:t>
      </w:r>
      <w:r>
        <w:rPr/>
        <w:t xml:space="preserve"> </w:t>
      </w:r>
      <w:r>
        <w:rPr/>
        <w:t xml:space="preserve">EMBs need reform and capacity support in order to enhance their</w:t>
      </w:r>
      <w:r>
        <w:rPr/>
        <w:t xml:space="preserve"> </w:t>
      </w:r>
      <w:r>
        <w:rPr/>
        <w:t xml:space="preserve">independence and </w:t>
      </w:r>
      <w:r>
        <w:rPr/>
        <w:t xml:space="preserve">credibility as a way of inspiring</w:t>
      </w:r>
      <w:r>
        <w:rPr/>
        <w:t xml:space="preserve"> </w:t>
      </w:r>
      <w:r>
        <w:rPr/>
        <w:t xml:space="preserve">public and</w:t>
      </w:r>
      <w:r>
        <w:rPr/>
        <w:t xml:space="preserve"> </w:t>
      </w:r>
      <w:r>
        <w:rPr/>
        <w:t xml:space="preserve">stakeholder confidence in their</w:t>
      </w:r>
      <w:r>
        <w:rPr/>
        <w:t xml:space="preserve"> </w:t>
      </w:r>
      <w:r>
        <w:rPr/>
        <w:t xml:space="preserve">ability to deliver credible, transparent and peaceful elections including the constitution referenda which are scheduled for </w:t>
      </w:r>
      <w:r>
        <w:rPr/>
        <w:t xml:space="preserve">2014.  </w:t>
      </w:r>
      <w:r>
        <w:rPr/>
        <w:t xml:space="preserve">  </w:t>
      </w:r>
    </w:p>
    <w:p>
      <w:pPr>
        <w:pStyle w:val="normal"/>
        <w:spacing w:before="0" w:after="189" w:line="248" w:lineRule="auto"/>
        <w:ind w:left="-5" w:right="754"/>
      </w:pPr>
      <w:r>
        <w:rPr/>
        <w:t xml:space="preserve">National partners made specific, written requests for UN assistance in the early part of the election cycle, and the 2014 constitutional referenda</w:t>
      </w:r>
      <w:r>
        <w:rPr/>
        <w:t xml:space="preserve">.  </w:t>
      </w:r>
      <w:r>
        <w:rPr/>
        <w:t xml:space="preserve">Previous election project partners and stakeholders consulted by UNDP attested to the success of past electoral support and the need for continuity</w:t>
      </w:r>
      <w:r>
        <w:rPr/>
        <w:t xml:space="preserve"> </w:t>
      </w:r>
      <w:r>
        <w:rPr/>
        <w:t xml:space="preserve">in order to consolidate Tanzania’s democratic achievements over the last few years. </w:t>
      </w:r>
      <w:r>
        <w:rPr/>
        <w:t xml:space="preserve"> </w:t>
      </w:r>
    </w:p>
    <w:p>
      <w:pPr>
        <w:pStyle w:val="normal"/>
        <w:spacing w:before="0" w:after="189" w:line="248" w:lineRule="auto"/>
        <w:ind w:left="-5" w:right="754"/>
      </w:pPr>
      <w:r>
        <w:rPr/>
        <w:t xml:space="preserve">Successful, fair and transparent elections are critical for</w:t>
      </w:r>
      <w:r>
        <w:rPr/>
        <w:t xml:space="preserve"> </w:t>
      </w:r>
      <w:r>
        <w:rPr/>
        <w:t xml:space="preserve">ensuring</w:t>
      </w:r>
      <w:r>
        <w:rPr/>
        <w:t xml:space="preserve"> </w:t>
      </w:r>
      <w:r>
        <w:rPr/>
        <w:t xml:space="preserve">conflict mitigation and peace building especially in a country like Tanzania (especially Zanzibar) with</w:t>
      </w:r>
      <w:r>
        <w:rPr/>
        <w:t xml:space="preserve"> </w:t>
      </w:r>
      <w:r>
        <w:rPr/>
        <w:t xml:space="preserve">a long</w:t>
      </w:r>
      <w:r>
        <w:rPr/>
        <w:t xml:space="preserve"> </w:t>
      </w:r>
      <w:r>
        <w:rPr/>
        <w:t xml:space="preserve">standing history of election</w:t>
      </w:r>
      <w:r>
        <w:rPr/>
        <w:t xml:space="preserve">-</w:t>
      </w:r>
      <w:r>
        <w:rPr/>
        <w:t xml:space="preserve">related violence.</w:t>
      </w:r>
      <w:r>
        <w:rPr/>
        <w:t xml:space="preserve">  </w:t>
      </w:r>
      <w:r>
        <w:rPr/>
        <w:t xml:space="preserve">Continued electoral support will assist in building the</w:t>
      </w:r>
      <w:r>
        <w:rPr/>
        <w:t xml:space="preserve"> </w:t>
      </w:r>
      <w:r>
        <w:rPr/>
        <w:t xml:space="preserve">capacity and reputation of the EMBs and </w:t>
      </w:r>
      <w:r>
        <w:rPr/>
        <w:t xml:space="preserve">o</w:t>
      </w:r>
      <w:r>
        <w:rPr/>
        <w:t xml:space="preserve">ther democratic institutions</w:t>
      </w:r>
      <w:r>
        <w:rPr/>
        <w:t xml:space="preserve"> </w:t>
      </w:r>
      <w:r>
        <w:rPr/>
        <w:t xml:space="preserve">thereby reducing incidents of election</w:t>
      </w:r>
      <w:r>
        <w:rPr/>
        <w:t xml:space="preserve"/>
      </w:r>
      <w:r>
        <w:rPr/>
        <w:t xml:space="preserve">related violence.</w:t>
      </w:r>
      <w:r>
        <w:rPr/>
        <w:t xml:space="preserve"> </w:t>
      </w:r>
    </w:p>
    <w:p>
      <w:pPr>
        <w:pStyle w:val="normal"/>
        <w:spacing w:before="0" w:after="189" w:line="248" w:lineRule="auto"/>
        <w:ind w:left="-5" w:right="754"/>
      </w:pPr>
      <w:r>
        <w:rPr/>
        <w:t xml:space="preserve">In designing</w:t>
      </w:r>
      <w:r>
        <w:rPr/>
        <w:t xml:space="preserve"> </w:t>
      </w:r>
      <w:r>
        <w:rPr/>
        <w:t xml:space="preserve">the current phase of support to the election cycle</w:t>
      </w:r>
      <w:r>
        <w:rPr/>
        <w:t xml:space="preserve">,</w:t>
      </w:r>
      <w:r>
        <w:rPr/>
        <w:t xml:space="preserve"> </w:t>
      </w:r>
      <w:r>
        <w:rPr/>
        <w:t xml:space="preserve">UNDP sought to base</w:t>
      </w:r>
      <w:r>
        <w:rPr/>
        <w:t xml:space="preserve"> </w:t>
      </w:r>
      <w:r>
        <w:rPr/>
        <w:t xml:space="preserve">the project objectives and outputs on the results and lessons from the 2010 Election</w:t>
      </w:r>
      <w:r>
        <w:rPr/>
        <w:t xml:space="preserve"> </w:t>
      </w:r>
      <w:r>
        <w:rPr/>
        <w:t xml:space="preserve">Support Project, the project independent evaluation, various 2010 observer Missions, post</w:t>
      </w:r>
      <w:r>
        <w:rPr/>
        <w:t xml:space="preserve">-</w:t>
      </w:r>
      <w:r>
        <w:rPr/>
        <w:t xml:space="preserve">election studies and research by universities and others, the DDTP</w:t>
      </w:r>
      <w:r>
        <w:rPr/>
        <w:t xml:space="preserve"> </w:t>
      </w:r>
      <w:r>
        <w:rPr/>
        <w:t xml:space="preserve">Evaluation and the 2012 EAD</w:t>
      </w:r>
      <w:r>
        <w:rPr/>
        <w:t xml:space="preserve">-</w:t>
      </w:r>
      <w:r>
        <w:rPr/>
        <w:t xml:space="preserve">led NAM report. Project design</w:t>
      </w:r>
      <w:r>
        <w:rPr/>
        <w:t xml:space="preserve"> </w:t>
      </w:r>
      <w:r>
        <w:rPr/>
        <w:t xml:space="preserve">has also benefitted from the findings and recommendations of the recent EU/DFID mission to Tanzania</w:t>
      </w:r>
      <w:r>
        <w:rPr/>
        <w:t xml:space="preserve">.  </w:t>
      </w:r>
      <w:r>
        <w:rPr/>
        <w:t xml:space="preserve"> </w:t>
      </w:r>
    </w:p>
    <w:p>
      <w:pPr>
        <w:pStyle w:val="normal"/>
        <w:spacing w:before="0" w:after="189" w:line="248" w:lineRule="auto"/>
        <w:ind w:left="-5" w:right="754"/>
      </w:pPr>
      <w:r>
        <w:rPr/>
        <w:t xml:space="preserve">The current project is furthermore informed by the</w:t>
      </w:r>
      <w:r>
        <w:rPr/>
        <w:t xml:space="preserve"> </w:t>
      </w:r>
      <w:r>
        <w:rPr/>
        <w:t xml:space="preserve">principles that are central to the UN electoral assistance, including i.e. the goal of</w:t>
      </w:r>
      <w:r>
        <w:rPr/>
        <w:t xml:space="preserve"> </w:t>
      </w:r>
      <w:r>
        <w:rPr/>
        <w:t xml:space="preserve">decreasing</w:t>
      </w:r>
      <w:r>
        <w:rPr/>
        <w:t xml:space="preserve"> </w:t>
      </w:r>
      <w:r>
        <w:rPr/>
        <w:t xml:space="preserve">donor (external) support as national (internal) capacity increases. Therefore in order to work towards an exit strategy, the project budget stands at will be </w:t>
      </w:r>
      <w:r>
        <w:rPr/>
        <w:t xml:space="preserve">22.5</w:t>
      </w:r>
      <w:r>
        <w:rPr/>
        <w:t xml:space="preserve"> </w:t>
      </w:r>
      <w:r>
        <w:rPr/>
        <w:t xml:space="preserve">million USD</w:t>
      </w:r>
      <w:r>
        <w:rPr/>
        <w:t xml:space="preserve"> </w:t>
      </w:r>
      <w:r>
        <w:rPr/>
        <w:t xml:space="preserve">compared to its predecessor ESP which was 28 million USD. The project activities are more focused on capacity development of</w:t>
      </w:r>
      <w:r>
        <w:rPr/>
        <w:t xml:space="preserve"> </w:t>
      </w:r>
      <w:r>
        <w:rPr/>
        <w:t xml:space="preserve">national stakeholders and less on direct support of election operations. </w:t>
      </w:r>
      <w:r>
        <w:rPr/>
        <w:t xml:space="preserve"> </w:t>
      </w:r>
    </w:p>
    <w:p>
      <w:pPr>
        <w:pStyle w:val="normal"/>
        <w:spacing w:before="0" w:after="3" w:line="248" w:lineRule="auto"/>
        <w:ind w:left="-5" w:right="754"/>
      </w:pPr>
      <w:r>
        <w:rPr/>
        <w:t xml:space="preserve">Finally, support to elections is tied to UNDP core purposes of poverty reduction and pro</w:t>
      </w:r>
      <w:r>
        <w:rPr/>
        <w:t xml:space="preserve">-</w:t>
      </w:r>
      <w:r>
        <w:rPr/>
        <w:t xml:space="preserve">poor development. As noted in the UNDP Strategic Plan 2008</w:t>
      </w:r>
      <w:r>
        <w:rPr/>
        <w:t xml:space="preserve">-</w:t>
      </w:r>
      <w:r>
        <w:rPr/>
        <w:t xml:space="preserve">2011, “enhancing accountability and responsive institutions is a critical element of democratic governance for human development.” A well managed election cycle and credible elections are key</w:t>
      </w:r>
      <w:r>
        <w:rPr/>
        <w:t xml:space="preserve"> </w:t>
      </w:r>
      <w:r>
        <w:rPr/>
        <w:t xml:space="preserve">to accountability and properly functioning responsible institutions of a capable State serving its citizens. UNDP support to elections is a global priority to give strength to full citizen participation, especially</w:t>
      </w:r>
      <w:r>
        <w:rPr/>
        <w:t xml:space="preserve"> </w:t>
      </w:r>
      <w:r>
        <w:rPr/>
        <w:t xml:space="preserve">to help address “the concerns and interests of poor people, women, and other vulnerable or excluded groups. Expanded capacity of governing</w:t>
      </w:r>
      <w:r>
        <w:rPr/>
        <w:t xml:space="preserve"> </w:t>
      </w:r>
      <w:r>
        <w:rPr/>
        <w:t xml:space="preserve">institutions (including Election Management Bodies) helps create an environment for delivering goals for poverty reduction.</w:t>
      </w:r>
      <w:r>
        <w:rPr/>
        <w:t xml:space="preserve">” (</w:t>
      </w:r>
      <w:r>
        <w:rPr/>
        <w:t xml:space="preserve">quotes</w:t>
      </w:r>
      <w:r>
        <w:rPr/>
        <w:t xml:space="preserve"> </w:t>
      </w:r>
      <w:r>
        <w:rPr/>
        <w:t xml:space="preserve">from UNDP</w:t>
      </w:r>
      <w:r>
        <w:rPr/>
        <w:t xml:space="preserve">-</w:t>
      </w:r>
      <w:r>
        <w:rPr/>
        <w:t xml:space="preserve">UNFPA Executive Board, 18 July 2007)</w:t>
      </w:r>
      <w:r>
        <w:rPr/>
        <w:t xml:space="preserve"> </w:t>
      </w:r>
    </w:p>
    <w:p>
      <w:pPr>
        <w:spacing w:before="0" w:after="215" w:line="259" w:lineRule="auto"/>
        <w:ind w:left="0" w:right="0" w:firstLine="0"/>
        <w:jc w:val="left"/>
      </w:pPr>
      <w:r>
        <w:rPr/>
        <w:t xml:space="preserve"> </w:t>
      </w:r>
    </w:p>
    <w:p>
      <w:pPr>
        <w:pStyle w:val="heading2"/>
        <w:spacing w:before="0" w:after="44" w:line="249" w:lineRule="auto"/>
        <w:ind w:left="-5"/>
      </w:pPr>
      <w:r>
        <w:rPr/>
        <w:t xml:space="preserve">C.4 Partnership Strategy</w:t>
      </w:r>
      <w:r>
        <w:rPr/>
        <w:t xml:space="preserve"> </w:t>
      </w:r>
    </w:p>
    <w:p>
      <w:pPr>
        <w:spacing w:before="0" w:after="0" w:line="259" w:lineRule="auto"/>
        <w:ind w:left="0" w:right="0" w:firstLine="0"/>
        <w:jc w:val="left"/>
      </w:pPr>
      <w:r>
        <w:rPr>
          <w:rFonts w:cs="Arial" w:hAnsi="Arial" w:eastAsia="Arial" w:ascii="Arial"/>
          <w:b w:val="1"/>
        </w:rPr>
        <w:t xml:space="preserve"> </w:t>
      </w:r>
    </w:p>
    <w:p>
      <w:pPr>
        <w:pStyle w:val="normal"/>
        <w:spacing w:before="0" w:after="189" w:line="248" w:lineRule="auto"/>
        <w:ind w:left="-5" w:right="754"/>
      </w:pPr>
      <w:r>
        <w:rPr/>
        <w:t xml:space="preserve">The project management will pursue a strategy for partnership and resource mobilization for achieving the objectives and results set out in this</w:t>
      </w:r>
      <w:r>
        <w:rPr/>
        <w:t xml:space="preserve"> </w:t>
      </w:r>
      <w:r>
        <w:rPr/>
        <w:t xml:space="preserve">project document</w:t>
      </w:r>
      <w:r>
        <w:rPr/>
        <w:t xml:space="preserve"> </w:t>
      </w:r>
      <w:r>
        <w:rPr/>
        <w:t xml:space="preserve">in close collaboration with the contributing partners, NEC/ZEC</w:t>
      </w:r>
      <w:r>
        <w:rPr/>
        <w:t xml:space="preserve">, </w:t>
      </w:r>
      <w:r>
        <w:rPr/>
        <w:t xml:space="preserve">RPP, CSOs and other relevant stakeholders.  The approach to partnership will be informed by the complexity of governance issues in Tanzania, which requires</w:t>
      </w:r>
      <w:r>
        <w:rPr/>
        <w:t xml:space="preserve"> </w:t>
      </w:r>
      <w:r>
        <w:rPr/>
        <w:t xml:space="preserve">development partners, government and other stakeholders to work together through collaborative mechanisms including appropriate division of labour and the coordination mechanism to avoid duplication and promote efficient use of resources.  </w:t>
      </w:r>
      <w:r>
        <w:rPr/>
        <w:t xml:space="preserve"> </w:t>
      </w:r>
    </w:p>
    <w:p>
      <w:pPr>
        <w:pStyle w:val="normal"/>
        <w:spacing w:before="0" w:after="52" w:line="248" w:lineRule="auto"/>
        <w:ind w:left="-5" w:right="754"/>
      </w:pPr>
      <w:r>
        <w:rPr/>
        <w:t xml:space="preserve">The JDBF</w:t>
      </w:r>
      <w:r>
        <w:rPr/>
        <w:t xml:space="preserve"> </w:t>
      </w:r>
      <w:r>
        <w:rPr/>
        <w:t xml:space="preserve">will be employed for this project in the same manner as in the previous electoral support project ESP 2010. UNDP and the project management will pursue constructive consultation and </w:t>
      </w:r>
      <w:r>
        <w:rPr/>
        <w:t xml:space="preserve">partnerships</w:t>
      </w:r>
      <w:r>
        <w:rPr/>
        <w:t xml:space="preserve"> </w:t>
      </w:r>
      <w:r>
        <w:rPr/>
        <w:t xml:space="preserve">with participating DPs through the Steering Committee, the two technical committees and through regular newsletters and other communications to ensure dialogue and timely and effective reporting. Efforts will be made to share information with and bring in other national and DP partners with common interest and to mobilize addition resources to fill the current gap of project financing.</w:t>
      </w:r>
      <w:r>
        <w:rPr/>
        <w:t xml:space="preserve"> </w:t>
      </w:r>
      <w:r>
        <w:rPr/>
        <w:t xml:space="preserve">Efforts will be made to ensure that DEP</w:t>
      </w:r>
      <w:r>
        <w:rPr/>
        <w:t xml:space="preserve"> </w:t>
      </w:r>
      <w:r>
        <w:rPr/>
        <w:t xml:space="preserve">activities complement rather than duplicate efforts of other development</w:t>
      </w:r>
      <w:r>
        <w:rPr/>
        <w:t xml:space="preserve"> </w:t>
      </w:r>
      <w:r>
        <w:rPr/>
        <w:t xml:space="preserve">partners outside the JDBF</w:t>
      </w:r>
      <w:r>
        <w:rPr/>
        <w:t xml:space="preserve"> </w:t>
      </w:r>
      <w:r>
        <w:rPr/>
        <w:t xml:space="preserve">through an open communication and a coordination mechanism to be agreed upon. The current project design took into consideration the areas of support covered by other partners and further efforts will be made to ensure continuous</w:t>
      </w:r>
      <w:r>
        <w:rPr/>
        <w:t xml:space="preserve"> </w:t>
      </w:r>
      <w:r>
        <w:rPr/>
        <w:t xml:space="preserve">monitoring and streamlining of activities to avoid overlap and undue duplication. </w:t>
      </w:r>
      <w:r>
        <w:rPr/>
        <w:t xml:space="preserve"> </w:t>
      </w:r>
    </w:p>
    <w:p>
      <w:pPr>
        <w:spacing w:before="0" w:after="338" w:line="259" w:lineRule="auto"/>
        <w:ind w:left="0" w:right="0" w:firstLine="0"/>
        <w:jc w:val="left"/>
      </w:pPr>
      <w:r>
        <w:rPr/>
        <w:t xml:space="preserve"> </w:t>
      </w:r>
    </w:p>
    <w:p>
      <w:pPr>
        <w:pStyle w:val="heading1"/>
        <w:spacing w:before="0" w:after="38" w:line="259" w:lineRule="auto"/>
        <w:ind w:left="-4" w:right="0"/>
      </w:pPr>
      <w:r>
        <w:rPr/>
        <w:t xml:space="preserve">D. </w:t>
      </w:r>
      <w:r>
        <w:rPr/>
        <w:t xml:space="preserve"> </w:t>
      </w:r>
      <w:r>
        <w:rPr/>
        <w:t xml:space="preserve">PROJECT OBJECTIVES AND OUTPUTS </w:t>
      </w:r>
      <w:r>
        <w:rPr/>
        <w:t xml:space="preserve"> </w:t>
      </w:r>
    </w:p>
    <w:p>
      <w:pPr>
        <w:spacing w:before="0" w:after="98" w:line="259" w:lineRule="auto"/>
        <w:ind w:left="0" w:right="0" w:firstLine="0"/>
        <w:jc w:val="left"/>
      </w:pPr>
      <w:r>
        <w:rPr>
          <w:rFonts w:cs="Calibri" w:hAnsi="Calibri" w:eastAsia="Calibri" w:ascii="Calibri"/>
          <w:b w:val="1"/>
        </w:rPr>
        <w:t xml:space="preserve"> </w:t>
      </w:r>
    </w:p>
    <w:p>
      <w:pPr>
        <w:pStyle w:val="normal"/>
        <w:spacing w:before="0" w:after="127" w:line="248" w:lineRule="auto"/>
        <w:ind w:left="-5" w:right="754"/>
      </w:pPr>
      <w:r>
        <w:rPr/>
        <w:t xml:space="preserve">The overall objective of the DEP</w:t>
      </w:r>
      <w:r>
        <w:rPr>
          <w:rFonts w:cs="Calibri" w:hAnsi="Calibri" w:eastAsia="Calibri" w:ascii="Calibri"/>
          <w:b w:val="1"/>
        </w:rPr>
        <w:t xml:space="preserve"> </w:t>
      </w:r>
      <w:r>
        <w:rPr/>
        <w:t xml:space="preserve">is to</w:t>
      </w:r>
      <w:r>
        <w:rPr/>
        <w:t xml:space="preserve"> </w:t>
      </w:r>
      <w:r>
        <w:rPr/>
        <w:t xml:space="preserve">contribute to the UNDAP’s Outcome 7: i.e. which is “strengthening the credibility and capacity of key institutions of democracy to effectively implement their election and political functions”.  Such enhanced credibility and capacity for these institutions will contribute to the improvement of the democratic character of Tanzania as an overall outcome. These improvements will help consolidate gains from past years of democratic institutional strengthening through various UNDP managed donor funded projects starting with the ESP</w:t>
      </w:r>
      <w:r>
        <w:rPr/>
        <w:t xml:space="preserve"> (2005), </w:t>
      </w:r>
      <w:r>
        <w:rPr/>
        <w:t xml:space="preserve">the DDTP (2006</w:t>
      </w:r>
      <w:r>
        <w:rPr/>
        <w:t xml:space="preserve">-</w:t>
      </w:r>
      <w:r>
        <w:rPr/>
        <w:t xml:space="preserve">2010), and the ESP (2010).  DEP will directly support UNDAP’s Cluster III Governance component that, in turn, supports MKUKUTA’s 2010</w:t>
      </w:r>
      <w:r>
        <w:rPr/>
        <w:t xml:space="preserve">-</w:t>
      </w:r>
      <w:r>
        <w:rPr/>
        <w:t xml:space="preserve">2015 goals for governance and accountability, and MKUZA (2010</w:t>
      </w:r>
      <w:r>
        <w:rPr/>
        <w:t xml:space="preserve">-</w:t>
      </w:r>
      <w:r>
        <w:rPr/>
        <w:t xml:space="preserve">2015) goals for good governance and national unity</w:t>
      </w:r>
      <w:r>
        <w:rPr>
          <w:vertAlign w:val="superscript"/>
        </w:rPr>
        <w:footnoteReference w:id="109"/>
      </w:r>
      <w:r>
        <w:rPr/>
        <w:t xml:space="preserve">. </w:t>
      </w:r>
      <w:r>
        <w:rPr/>
        <w:t xml:space="preserve"> </w:t>
      </w:r>
    </w:p>
    <w:p>
      <w:pPr>
        <w:pStyle w:val="normal"/>
        <w:spacing w:before="0" w:after="112" w:line="248" w:lineRule="auto"/>
        <w:ind w:left="-5" w:right="754"/>
      </w:pPr>
      <w:r>
        <w:rPr/>
        <w:t xml:space="preserve">The project will have the following four outputs or components</w:t>
      </w:r>
      <w:r>
        <w:rPr/>
        <w:t xml:space="preserve"> </w:t>
      </w:r>
      <w:r>
        <w:rPr/>
        <w:t xml:space="preserve">which are informed by the UNDAP</w:t>
      </w:r>
      <w:r>
        <w:rPr/>
        <w:t xml:space="preserve"> </w:t>
      </w:r>
      <w:r>
        <w:rPr/>
        <w:t xml:space="preserve">and the recommendations of recent reports and studies including the NAM, project evaluations and observer missions: </w:t>
      </w:r>
      <w:r>
        <w:rPr/>
        <w:t xml:space="preserve"> </w:t>
      </w:r>
    </w:p>
    <w:p>
      <w:pPr>
        <w:pStyle w:val="normal"/>
        <w:numPr>
          <w:ilvl w:val="0"/>
          <w:numId w:val="5"/>
        </w:numPr>
        <w:spacing w:before="0" w:after="129" w:line="248" w:lineRule="auto"/>
        <w:ind w:left="230" w:right="754" w:hanging="230"/>
      </w:pPr>
      <w:r>
        <w:rPr/>
        <w:t xml:space="preserve">Capacity of the key democratic institutions (EMBs, RPP) enhanced to support and promotes</w:t>
      </w:r>
      <w:r>
        <w:rPr/>
        <w:t xml:space="preserve"> </w:t>
      </w:r>
      <w:r>
        <w:rPr/>
        <w:t xml:space="preserve">legal and</w:t>
      </w:r>
      <w:r>
        <w:rPr/>
        <w:t xml:space="preserve"> </w:t>
      </w:r>
      <w:r>
        <w:rPr/>
        <w:t xml:space="preserve">institutional reform</w:t>
      </w:r>
      <w:r>
        <w:rPr>
          <w:vertAlign w:val="superscript"/>
        </w:rPr>
        <w:footnoteReference w:id="110"/>
      </w:r>
      <w:r>
        <w:rPr/>
        <w:t xml:space="preserve">;  </w:t>
      </w:r>
    </w:p>
    <w:p>
      <w:pPr>
        <w:pStyle w:val="normal"/>
        <w:numPr>
          <w:ilvl w:val="0"/>
          <w:numId w:val="5"/>
        </w:numPr>
        <w:spacing w:before="0" w:after="128" w:line="248" w:lineRule="auto"/>
        <w:ind w:left="230" w:right="754" w:hanging="230"/>
      </w:pPr>
      <w:r>
        <w:rPr/>
        <w:t xml:space="preserve">Capacity of the EMBs to conduct credible elections enhanced through strategic, technical and operational support and improved EMB engagement with stakeholders (i.e. political parties, CSOs, and the media)</w:t>
      </w:r>
      <w:r>
        <w:rPr>
          <w:vertAlign w:val="superscript"/>
        </w:rPr>
        <w:footnoteReference w:id="111"/>
      </w:r>
      <w:r>
        <w:rPr/>
        <w:t xml:space="preserve"> </w:t>
      </w:r>
      <w:r>
        <w:rPr/>
        <w:t xml:space="preserve">to improve the democratic environment; </w:t>
      </w:r>
      <w:r>
        <w:rPr/>
        <w:t xml:space="preserve"> </w:t>
      </w:r>
    </w:p>
    <w:p>
      <w:pPr>
        <w:pStyle w:val="normal"/>
        <w:numPr>
          <w:ilvl w:val="0"/>
          <w:numId w:val="5"/>
        </w:numPr>
        <w:spacing w:before="0" w:after="112" w:line="248" w:lineRule="auto"/>
        <w:ind w:left="230" w:right="754" w:hanging="230"/>
      </w:pPr>
      <w:r>
        <w:rPr/>
        <w:t xml:space="preserve">Inclusive</w:t>
      </w:r>
      <w:r>
        <w:rPr/>
        <w:t xml:space="preserve"> </w:t>
      </w:r>
      <w:r>
        <w:rPr/>
        <w:t xml:space="preserve">participation in elections and politics enhanced through the empowerment of women, youth and PWDs; </w:t>
      </w:r>
      <w:r>
        <w:rPr/>
        <w:t xml:space="preserve"> </w:t>
      </w:r>
    </w:p>
    <w:p>
      <w:pPr>
        <w:pStyle w:val="normal"/>
        <w:numPr>
          <w:ilvl w:val="0"/>
          <w:numId w:val="5"/>
        </w:numPr>
        <w:spacing w:before="0" w:after="108" w:line="248" w:lineRule="auto"/>
        <w:ind w:left="230" w:right="754" w:hanging="230"/>
      </w:pPr>
      <w:r>
        <w:rPr/>
        <w:t xml:space="preserve">National</w:t>
      </w:r>
      <w:r>
        <w:rPr/>
        <w:t xml:space="preserve"> </w:t>
      </w:r>
      <w:r>
        <w:rPr/>
        <w:t xml:space="preserve">peace infrastructure enhanced to mitigate election</w:t>
      </w:r>
      <w:r>
        <w:rPr/>
        <w:t xml:space="preserve">-</w:t>
      </w:r>
      <w:r>
        <w:rPr/>
        <w:t xml:space="preserve">related conflicts</w:t>
      </w:r>
      <w:r>
        <w:rPr/>
        <w:t xml:space="preserve">.</w:t>
      </w:r>
      <w:r>
        <w:rPr/>
        <w:t xml:space="preserve"> </w:t>
      </w:r>
    </w:p>
    <w:p>
      <w:pPr>
        <w:pStyle w:val="normal"/>
        <w:spacing w:before="0" w:after="3" w:line="248" w:lineRule="auto"/>
        <w:ind w:left="-5" w:right="754"/>
      </w:pPr>
      <w:r>
        <w:rPr/>
        <w:t xml:space="preserve">A gender equality perspective will be included in all components. The project outputs will be discussed in detail below as the project components:</w:t>
      </w:r>
      <w:r>
        <w:rPr/>
        <w:t xml:space="preserve"> </w:t>
      </w:r>
    </w:p>
    <w:p>
      <w:pPr>
        <w:pStyle w:val="heading1"/>
        <w:spacing w:before="0" w:after="107" w:line="249" w:lineRule="auto"/>
        <w:ind w:left="-5" w:right="0"/>
      </w:pPr>
      <w:r>
        <w:rPr>
          <w:rFonts w:cs="Calibri" w:hAnsi="Calibri" w:eastAsia="Calibri" w:ascii="Calibri"/>
          <w:i w:val="1"/>
        </w:rPr>
        <w:t xml:space="preserve">Component 1: </w:t>
      </w:r>
      <w:r>
        <w:rPr>
          <w:rFonts w:cs="Calibri" w:hAnsi="Calibri" w:eastAsia="Calibri" w:ascii="Calibri"/>
          <w:i w:val="1"/>
        </w:rPr>
        <w:t xml:space="preserve"> </w:t>
      </w:r>
      <w:r>
        <w:rPr>
          <w:rFonts w:cs="Calibri" w:hAnsi="Calibri" w:eastAsia="Calibri" w:ascii="Calibri"/>
          <w:i w:val="1"/>
        </w:rPr>
        <w:t xml:space="preserve">Supporting Legal and Institutional Reform for Credible Elections </w:t>
      </w:r>
      <w:r>
        <w:rPr>
          <w:rFonts w:cs="Calibri" w:hAnsi="Calibri" w:eastAsia="Calibri" w:ascii="Calibri"/>
          <w:i w:val="1"/>
        </w:rPr>
        <w:t xml:space="preserve"> </w:t>
      </w:r>
    </w:p>
    <w:p>
      <w:pPr>
        <w:pStyle w:val="normal"/>
        <w:spacing w:before="0" w:after="112" w:line="248" w:lineRule="auto"/>
        <w:ind w:left="-5" w:right="754"/>
      </w:pPr>
      <w:r>
        <w:rPr/>
        <w:t xml:space="preserve">The extent to which Tanzania is able to generate and sustain confidence in the democratic process in general and in the electoral process in particular greatly depends on the ability of key institutions such as the EMBs, RPP and Political Parties to fulfill their function as catalysts for democratic consolidation in the country.  Different reports and analysis point to the need for improved legal and institutional framework for elections in Tanzania: i.e. strengthening the status, mandate and powers of the EMBs, providing better mechanisms for transparent and fair elections, and even allowing independent candidates to contest presidential elections and political parties to form electoral alliances,</w:t>
      </w:r>
      <w:r>
        <w:rPr/>
        <w:t xml:space="preserve"> </w:t>
      </w:r>
      <w:r>
        <w:rPr/>
        <w:t xml:space="preserve">and fostering effective dispute resolution mechanisms, among other reforms.  </w:t>
      </w:r>
      <w:r>
        <w:rPr/>
        <w:t xml:space="preserve"> </w:t>
      </w:r>
    </w:p>
    <w:p>
      <w:pPr>
        <w:pStyle w:val="normal"/>
        <w:spacing w:before="0" w:after="112" w:line="248" w:lineRule="auto"/>
        <w:ind w:left="-5" w:right="754"/>
      </w:pPr>
      <w:r>
        <w:rPr/>
        <w:t xml:space="preserve">With a view to</w:t>
      </w:r>
      <w:r>
        <w:rPr/>
        <w:t xml:space="preserve"> </w:t>
      </w:r>
      <w:r>
        <w:rPr/>
        <w:t xml:space="preserve">address some of these legal and institutional challenges and to promote national dialogue to improve the overall electoral environment in the country,</w:t>
      </w:r>
      <w:r>
        <w:rPr/>
        <w:t xml:space="preserve"> </w:t>
      </w:r>
      <w:r>
        <w:rPr/>
        <w:t xml:space="preserve">the following shall be the </w:t>
      </w:r>
      <w:r>
        <w:rPr>
          <w:rFonts w:cs="Calibri" w:hAnsi="Calibri" w:eastAsia="Calibri" w:ascii="Calibri"/>
          <w:b w:val="1"/>
        </w:rPr>
        <w:t xml:space="preserve">outputs</w:t>
      </w:r>
      <w:r>
        <w:rPr/>
        <w:t xml:space="preserve">: </w:t>
      </w:r>
      <w:r>
        <w:rPr/>
        <w:t xml:space="preserve"> </w:t>
      </w:r>
    </w:p>
    <w:p>
      <w:pPr>
        <w:spacing w:before="0" w:after="109" w:line="249" w:lineRule="auto"/>
        <w:ind w:left="-5" w:right="0"/>
        <w:jc w:val="left"/>
      </w:pPr>
      <w:r>
        <w:rPr>
          <w:u w:val="single" w:color="000000"/>
        </w:rPr>
        <w:t xml:space="preserve">Output 1</w:t>
      </w:r>
      <w:r>
        <w:rPr/>
        <w:t xml:space="preserve">:  </w:t>
      </w:r>
      <w:r>
        <w:rPr>
          <w:rFonts w:cs="Calibri" w:hAnsi="Calibri" w:eastAsia="Calibri" w:ascii="Calibri"/>
          <w:i w:val="1"/>
        </w:rPr>
        <w:t xml:space="preserve">Legal and institutional reforms introduced</w:t>
      </w:r>
      <w:r>
        <w:rPr>
          <w:rFonts w:cs="Calibri" w:hAnsi="Calibri" w:eastAsia="Calibri" w:ascii="Calibri"/>
          <w:i w:val="1"/>
        </w:rPr>
        <w:t xml:space="preserve"> </w:t>
      </w:r>
      <w:r>
        <w:rPr>
          <w:rFonts w:cs="Calibri" w:hAnsi="Calibri" w:eastAsia="Calibri" w:ascii="Calibri"/>
          <w:i w:val="1"/>
        </w:rPr>
        <w:t xml:space="preserve">to</w:t>
      </w:r>
      <w:r>
        <w:rPr>
          <w:rFonts w:cs="Calibri" w:hAnsi="Calibri" w:eastAsia="Calibri" w:ascii="Calibri"/>
          <w:i w:val="1"/>
        </w:rPr>
        <w:t xml:space="preserve"> </w:t>
      </w:r>
      <w:r>
        <w:rPr>
          <w:rFonts w:cs="Calibri" w:hAnsi="Calibri" w:eastAsia="Calibri" w:ascii="Calibri"/>
          <w:i w:val="1"/>
        </w:rPr>
        <w:t xml:space="preserve">promote democratic elections</w:t>
      </w:r>
      <w:r>
        <w:rPr/>
        <w:t xml:space="preserve"> </w:t>
      </w:r>
    </w:p>
    <w:p>
      <w:pPr>
        <w:pStyle w:val="normal"/>
        <w:spacing w:before="0" w:after="112" w:line="248" w:lineRule="auto"/>
        <w:ind w:left="-5" w:right="754"/>
      </w:pPr>
      <w:r>
        <w:rPr/>
        <w:t xml:space="preserve">DEP will enhance the capacity of EMBs to contribute</w:t>
      </w:r>
      <w:r>
        <w:rPr/>
        <w:t xml:space="preserve"> </w:t>
      </w:r>
      <w:r>
        <w:rPr/>
        <w:t xml:space="preserve">and operationalize outcomes of the ongoing constitutional review process through supporting NEC to develop the legal and regulatory framework to improve the credibility, independence, professional integrity and functioning of</w:t>
      </w:r>
      <w:r>
        <w:rPr/>
        <w:t xml:space="preserve"> </w:t>
      </w:r>
      <w:r>
        <w:rPr/>
        <w:t xml:space="preserve">the EMBs</w:t>
      </w:r>
      <w:r>
        <w:rPr/>
        <w:t xml:space="preserve"> </w:t>
      </w:r>
      <w:r>
        <w:rPr/>
        <w:t xml:space="preserve">and also the overall environment within which elections take place.  Similar actions will be taken to support the capacity of the RPP and political parties to promote effective legal framework to foster democratic functioning of political parties, including a review of provision of reserved seats</w:t>
      </w:r>
      <w:r>
        <w:rPr/>
        <w:t xml:space="preserve">.  </w:t>
      </w:r>
      <w:r>
        <w:rPr/>
        <w:t xml:space="preserve">DEP will also support NEC and ZEC to engage political parties, media and civil society to have a robust dialogue on improving the electoral legal framework and</w:t>
      </w:r>
      <w:r>
        <w:rPr/>
        <w:t xml:space="preserve"> </w:t>
      </w:r>
      <w:r>
        <w:rPr/>
        <w:t xml:space="preserve">foster credible, transparent and peaceful elections in Tanzania</w:t>
      </w:r>
      <w:r>
        <w:rPr/>
        <w:t xml:space="preserve">.</w:t>
      </w:r>
      <w:r>
        <w:rPr/>
        <w:t xml:space="preserve">  </w:t>
      </w:r>
      <w:r>
        <w:rPr/>
        <w:t xml:space="preserve">While the ongoing constitutional reform process presents an opportunity for swift reform, DEP will seek to build the capacity of the said institutions to promote reform beyond, or in parallel, if necessary,</w:t>
      </w:r>
      <w:r>
        <w:rPr/>
        <w:t xml:space="preserve"> </w:t>
      </w:r>
      <w:r>
        <w:rPr/>
        <w:t xml:space="preserve">to the current constitutional review.</w:t>
      </w: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6"/>
        </w:numPr>
        <w:spacing w:before="0" w:after="142" w:line="248" w:lineRule="auto"/>
        <w:ind w:left="720" w:right="754" w:hanging="360"/>
      </w:pPr>
      <w:r>
        <w:rPr/>
        <w:t xml:space="preserve">Support NEC in updating the election regulations and guidelines; </w:t>
      </w:r>
      <w:r>
        <w:rPr/>
        <w:t xml:space="preserve"> </w:t>
      </w:r>
    </w:p>
    <w:p>
      <w:pPr>
        <w:pStyle w:val="normal"/>
        <w:numPr>
          <w:ilvl w:val="0"/>
          <w:numId w:val="6"/>
        </w:numPr>
        <w:spacing w:before="0" w:after="146" w:line="248" w:lineRule="auto"/>
        <w:ind w:left="720" w:right="754" w:hanging="360"/>
      </w:pPr>
      <w:r>
        <w:rPr/>
        <w:t xml:space="preserve">Support the RPP to make inputs to the constitutional review process in order to improve the legislative framework for democratic functioning of political parties</w:t>
      </w:r>
      <w:r>
        <w:rPr/>
        <w:t xml:space="preserve">; </w:t>
      </w:r>
    </w:p>
    <w:p>
      <w:pPr>
        <w:pStyle w:val="normal"/>
        <w:numPr>
          <w:ilvl w:val="0"/>
          <w:numId w:val="6"/>
        </w:numPr>
        <w:spacing w:before="0" w:after="142" w:line="248" w:lineRule="auto"/>
        <w:ind w:left="720" w:right="754" w:hanging="360"/>
      </w:pPr>
      <w:r>
        <w:rPr/>
        <w:t xml:space="preserve">Support research and dialogue on two decades of multiparty system in Tanzania</w:t>
      </w:r>
      <w:r>
        <w:rPr/>
        <w:t xml:space="preserve">;  </w:t>
      </w:r>
    </w:p>
    <w:p>
      <w:pPr>
        <w:pStyle w:val="normal"/>
        <w:numPr>
          <w:ilvl w:val="0"/>
          <w:numId w:val="6"/>
        </w:numPr>
        <w:spacing w:before="0" w:after="142" w:line="248" w:lineRule="auto"/>
        <w:ind w:left="720" w:right="754" w:hanging="360"/>
      </w:pPr>
      <w:r>
        <w:rPr/>
        <w:t xml:space="preserve">Facilitate RPP</w:t>
      </w:r>
      <w:r>
        <w:rPr/>
        <w:t xml:space="preserve">-</w:t>
      </w:r>
      <w:r>
        <w:rPr/>
        <w:t xml:space="preserve">led evaluation of the implementation of the Elections Expenses Act 2010</w:t>
      </w:r>
      <w:r>
        <w:rPr/>
        <w:t xml:space="preserve">; </w:t>
      </w:r>
    </w:p>
    <w:p>
      <w:pPr>
        <w:pStyle w:val="normal"/>
        <w:numPr>
          <w:ilvl w:val="0"/>
          <w:numId w:val="6"/>
        </w:numPr>
        <w:spacing w:before="0" w:after="146" w:line="248" w:lineRule="auto"/>
        <w:ind w:left="720" w:right="754" w:hanging="360"/>
      </w:pPr>
      <w:r>
        <w:rPr/>
        <w:t xml:space="preserve">Support multi</w:t>
      </w:r>
      <w:r>
        <w:rPr/>
        <w:t xml:space="preserve">-</w:t>
      </w:r>
      <w:r>
        <w:rPr/>
        <w:t xml:space="preserve">stakeholders (EMBs, CSOs, Media and Political Parties) dialogue to improve the legal and institutional framework for democratic and inclusive elections in Tanzania, including electoral system reform</w:t>
      </w:r>
      <w:r>
        <w:rPr/>
        <w:t xml:space="preserve">; </w:t>
      </w:r>
      <w:r>
        <w:rPr/>
        <w:t xml:space="preserve">including the review of reserved seats</w:t>
      </w:r>
      <w:r>
        <w:rPr/>
        <w:t xml:space="preserve"> </w:t>
      </w:r>
      <w:r>
        <w:rPr/>
        <w:t xml:space="preserve">provisions</w:t>
      </w:r>
      <w:r>
        <w:rPr/>
        <w:t xml:space="preserve">.</w:t>
      </w:r>
      <w:r>
        <w:rPr/>
        <w:t xml:space="preserve"> </w:t>
      </w:r>
    </w:p>
    <w:p>
      <w:pPr>
        <w:pStyle w:val="normal"/>
        <w:numPr>
          <w:ilvl w:val="0"/>
          <w:numId w:val="6"/>
        </w:numPr>
        <w:spacing w:before="0" w:after="229" w:line="248" w:lineRule="auto"/>
        <w:ind w:left="720" w:right="754" w:hanging="360"/>
      </w:pPr>
      <w:r>
        <w:rPr/>
        <w:t xml:space="preserve">Support the judiciary to foster electoral justice through improved dispute resolution</w:t>
      </w:r>
      <w:r>
        <w:rPr/>
        <w:t xml:space="preserve"> </w:t>
      </w:r>
      <w:r>
        <w:rPr/>
        <w:t xml:space="preserve">mechanisms, including contributing to the constitutional review process.</w:t>
      </w:r>
      <w:r>
        <w:rPr/>
        <w:t xml:space="preserve"> </w:t>
      </w:r>
    </w:p>
    <w:p>
      <w:pPr>
        <w:pStyle w:val="heading1"/>
        <w:spacing w:before="0" w:after="107" w:line="249" w:lineRule="auto"/>
        <w:ind w:left="-5" w:right="0"/>
      </w:pPr>
      <w:r>
        <w:rPr>
          <w:rFonts w:cs="Calibri" w:hAnsi="Calibri" w:eastAsia="Calibri" w:ascii="Calibri"/>
          <w:i w:val="1"/>
        </w:rPr>
        <w:t xml:space="preserve">Component 2:  Support improvement of EMB integrity and management capacities </w:t>
      </w:r>
      <w:r>
        <w:rPr>
          <w:rFonts w:cs="Calibri" w:hAnsi="Calibri" w:eastAsia="Calibri" w:ascii="Calibri"/>
          <w:i w:val="1"/>
        </w:rPr>
        <w:t xml:space="preserve"> </w:t>
      </w:r>
    </w:p>
    <w:p>
      <w:pPr>
        <w:pStyle w:val="normal"/>
        <w:spacing w:before="0" w:after="112" w:line="248" w:lineRule="auto"/>
        <w:ind w:left="-5" w:right="754"/>
      </w:pPr>
      <w:r>
        <w:rPr/>
        <w:t xml:space="preserve">DEP will undertake concrete steps towards the development of EMBs integrity and management systems with a view to strengthening</w:t>
      </w:r>
      <w:r>
        <w:rPr/>
        <w:t xml:space="preserve"> </w:t>
      </w:r>
      <w:r>
        <w:rPr/>
        <w:t xml:space="preserve">their capacity to effectively deliver on their core mandate. Both EMBs need capacity support to improve their independence, credibility, professionalism, efficiency and accountability. The two EMBs face credibility and capacity gaps which limit their ability to conduct credible elections</w:t>
      </w:r>
      <w:r>
        <w:rPr/>
        <w:t xml:space="preserve"> </w:t>
      </w:r>
      <w:r>
        <w:rPr/>
        <w:t xml:space="preserve">including voter registration, candidate nomination, balloting, results management, and voter education, DEP will support</w:t>
      </w:r>
      <w:r>
        <w:rPr/>
        <w:t xml:space="preserve"> </w:t>
      </w:r>
      <w:r>
        <w:rPr/>
        <w:t xml:space="preserve">the following outputs</w:t>
      </w:r>
      <w:r>
        <w:rPr/>
        <w:t xml:space="preserve">:</w:t>
      </w:r>
      <w:r>
        <w:rPr/>
        <w:t xml:space="preserve"> </w:t>
      </w:r>
    </w:p>
    <w:p>
      <w:pPr>
        <w:spacing w:before="0" w:after="98" w:line="259" w:lineRule="auto"/>
        <w:ind w:left="0" w:right="0" w:firstLine="0"/>
        <w:jc w:val="left"/>
      </w:pPr>
      <w:r>
        <w:rPr/>
        <w:t xml:space="preserve"> </w:t>
      </w:r>
    </w:p>
    <w:p>
      <w:pPr>
        <w:spacing w:before="0" w:after="0" w:line="259" w:lineRule="auto"/>
        <w:ind w:left="0" w:right="0" w:firstLine="0"/>
        <w:jc w:val="left"/>
      </w:pPr>
      <w:r>
        <w:rPr/>
        <w:t xml:space="preserve"> </w:t>
      </w:r>
    </w:p>
    <w:p>
      <w:pPr>
        <w:spacing w:before="0" w:after="109" w:line="249" w:lineRule="auto"/>
        <w:ind w:left="-5" w:right="0"/>
        <w:jc w:val="left"/>
      </w:pPr>
      <w:r>
        <w:rPr>
          <w:u w:val="single" w:color="000000"/>
        </w:rPr>
        <w:t xml:space="preserve">Output 1</w:t>
      </w:r>
      <w:r>
        <w:rPr/>
        <w:t xml:space="preserve">: </w:t>
      </w:r>
      <w:r>
        <w:rPr>
          <w:rFonts w:cs="Calibri" w:hAnsi="Calibri" w:eastAsia="Calibri" w:ascii="Calibri"/>
          <w:i w:val="1"/>
        </w:rPr>
        <w:t xml:space="preserve">EMBs strategic planning and policy making capacities improved.</w:t>
      </w:r>
      <w:r>
        <w:rPr/>
        <w:t xml:space="preserve"> </w:t>
      </w:r>
    </w:p>
    <w:p>
      <w:pPr>
        <w:pStyle w:val="normal"/>
        <w:spacing w:before="0" w:after="112" w:line="248" w:lineRule="auto"/>
        <w:ind w:left="-5" w:right="754"/>
      </w:pPr>
      <w:r>
        <w:rPr/>
        <w:t xml:space="preserve">The two EMBs need enhanced capacity to develop management tools such as strategic plans</w:t>
      </w:r>
      <w:r>
        <w:rPr/>
        <w:t xml:space="preserve">, </w:t>
      </w:r>
      <w:r>
        <w:rPr/>
        <w:t xml:space="preserve">election calendars, internal business processes and policies in order to improve their operational efficiency</w:t>
      </w:r>
      <w:r>
        <w:rPr/>
        <w:t xml:space="preserve">, </w:t>
      </w:r>
      <w:r>
        <w:rPr/>
        <w:t xml:space="preserve">stakeholder responsiveness, and gender mainstreaming.</w:t>
      </w:r>
      <w:r>
        <w:rPr/>
        <w:t xml:space="preserve">   </w:t>
      </w:r>
    </w:p>
    <w:p>
      <w:pPr>
        <w:spacing w:before="0" w:after="95" w:line="259" w:lineRule="auto"/>
        <w:ind w:left="0" w:right="0" w:firstLine="0"/>
        <w:jc w:val="left"/>
      </w:pP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7"/>
        </w:numPr>
        <w:spacing w:before="0" w:after="142" w:line="248" w:lineRule="auto"/>
        <w:ind w:left="720" w:right="754" w:hanging="360"/>
      </w:pPr>
      <w:r>
        <w:rPr/>
        <w:t xml:space="preserve">Support the development and operationalization of strategic plans for NEC and ZEC </w:t>
      </w:r>
      <w:r>
        <w:rPr/>
        <w:t xml:space="preserve"> </w:t>
      </w:r>
    </w:p>
    <w:p>
      <w:pPr>
        <w:pStyle w:val="normal"/>
        <w:numPr>
          <w:ilvl w:val="0"/>
          <w:numId w:val="7"/>
        </w:numPr>
        <w:spacing w:before="0" w:after="146" w:line="248" w:lineRule="auto"/>
        <w:ind w:left="720" w:right="754" w:hanging="360"/>
      </w:pPr>
      <w:r>
        <w:rPr/>
        <w:t xml:space="preserve">Support the development and implementation of policies and business processes and policies including gender policies, elections calendar, logistics plans, communication and stakeholder engagement strategies </w:t>
      </w:r>
      <w:r>
        <w:rPr/>
        <w:t xml:space="preserve"> </w:t>
      </w:r>
    </w:p>
    <w:p>
      <w:pPr>
        <w:pStyle w:val="normal"/>
        <w:numPr>
          <w:ilvl w:val="0"/>
          <w:numId w:val="7"/>
        </w:numPr>
        <w:spacing w:before="0" w:after="146" w:line="248" w:lineRule="auto"/>
        <w:ind w:left="720" w:right="754" w:hanging="360"/>
      </w:pPr>
      <w:r>
        <w:rPr/>
        <w:t xml:space="preserve">Support NEC to conduct and</w:t>
      </w:r>
      <w:r>
        <w:rPr/>
        <w:t xml:space="preserve"> </w:t>
      </w:r>
      <w:r>
        <w:rPr/>
        <w:t xml:space="preserve">implement a sustainability study for decentralization including cost and benefit analysis</w:t>
      </w:r>
      <w:r>
        <w:rPr/>
        <w:t xml:space="preserve">. </w:t>
      </w:r>
      <w:r>
        <w:rPr/>
        <w:t xml:space="preserve">   </w:t>
      </w:r>
    </w:p>
    <w:p>
      <w:pPr>
        <w:pStyle w:val="normal"/>
        <w:numPr>
          <w:ilvl w:val="0"/>
          <w:numId w:val="7"/>
        </w:numPr>
        <w:spacing w:before="0" w:after="146" w:line="248" w:lineRule="auto"/>
        <w:ind w:left="720" w:right="754" w:hanging="360"/>
      </w:pPr>
      <w:r>
        <w:rPr/>
        <w:t xml:space="preserve">Support for the institutionalization of a</w:t>
      </w:r>
      <w:r>
        <w:rPr/>
        <w:t xml:space="preserve"> </w:t>
      </w:r>
      <w:r>
        <w:rPr/>
        <w:t xml:space="preserve">Monitoring and Evaluation system for the electoral process to help the commission make timely and informed decisions.</w:t>
      </w:r>
      <w:r>
        <w:rPr/>
        <w:t xml:space="preserve"> </w:t>
      </w:r>
    </w:p>
    <w:p>
      <w:pPr>
        <w:pStyle w:val="normal"/>
        <w:numPr>
          <w:ilvl w:val="0"/>
          <w:numId w:val="7"/>
        </w:numPr>
        <w:spacing w:before="0" w:after="112" w:line="248" w:lineRule="auto"/>
        <w:ind w:left="720" w:right="754" w:hanging="360"/>
      </w:pPr>
      <w:r>
        <w:rPr/>
        <w:t xml:space="preserve">Support the EMBs in ensuring a gender aware approach to their work, including giving considerations to differential impacts on men and women in electoral operations, voter education and outreach, internal policies and data disaggregation.</w:t>
      </w:r>
      <w:r>
        <w:rPr/>
        <w:t xml:space="preserve"> </w:t>
      </w:r>
    </w:p>
    <w:p>
      <w:pPr>
        <w:spacing w:before="0" w:after="98" w:line="259" w:lineRule="auto"/>
        <w:ind w:left="0" w:right="0" w:firstLine="0"/>
        <w:jc w:val="left"/>
      </w:pPr>
      <w:r>
        <w:rPr/>
        <w:t xml:space="preserve"> </w:t>
      </w:r>
    </w:p>
    <w:p>
      <w:pPr>
        <w:spacing w:before="0" w:after="109" w:line="249" w:lineRule="auto"/>
        <w:ind w:left="-5" w:right="0"/>
        <w:jc w:val="left"/>
      </w:pPr>
      <w:r>
        <w:rPr>
          <w:u w:val="single" w:color="000000"/>
        </w:rPr>
        <w:t xml:space="preserve">Output 2</w:t>
      </w:r>
      <w:r>
        <w:rPr/>
        <w:t xml:space="preserve">: </w:t>
      </w:r>
      <w:r>
        <w:rPr>
          <w:rFonts w:cs="Calibri" w:hAnsi="Calibri" w:eastAsia="Calibri" w:ascii="Calibri"/>
          <w:i w:val="1"/>
        </w:rPr>
        <w:t xml:space="preserve">EMB capacity to use ICT enhanced</w:t>
      </w:r>
      <w:r>
        <w:rPr/>
        <w:t xml:space="preserve"> </w:t>
      </w:r>
    </w:p>
    <w:p>
      <w:pPr>
        <w:pStyle w:val="normal"/>
        <w:spacing w:before="0" w:after="112" w:line="248" w:lineRule="auto"/>
        <w:ind w:left="-5" w:right="754"/>
      </w:pPr>
      <w:r>
        <w:rPr/>
        <w:t xml:space="preserve">ICT and elections have progressively become</w:t>
      </w:r>
      <w:r>
        <w:rPr/>
        <w:t xml:space="preserve"> </w:t>
      </w:r>
      <w:r>
        <w:rPr/>
        <w:t xml:space="preserve">inseparable over the last few decades notwithstanding</w:t>
      </w:r>
      <w:r>
        <w:rPr/>
        <w:t xml:space="preserve"> </w:t>
      </w:r>
      <w:r>
        <w:rPr/>
        <w:t xml:space="preserve">the fact that ICTs</w:t>
      </w:r>
      <w:r>
        <w:rPr/>
        <w:t xml:space="preserve"> </w:t>
      </w:r>
      <w:r>
        <w:rPr/>
        <w:t xml:space="preserve">are not always the panacea to various challenges facing elections and also regardless of the high cost and sustainability issues surrounding ICT</w:t>
      </w:r>
      <w:r>
        <w:rPr/>
        <w:t xml:space="preserve">.  </w:t>
      </w:r>
      <w:r>
        <w:rPr/>
        <w:t xml:space="preserve">The two EMBs intend to invest heavily in ICT mainly through the procurement of biometric technologies for the 2013 voter registration and beyond. While ZEC already acquired biometric technology during the 2010 voter registration, NEC is about to make a huge investment in this area next year following a pledge by government to fund this multi</w:t>
      </w:r>
      <w:r>
        <w:rPr/>
        <w:t xml:space="preserve">-</w:t>
      </w:r>
      <w:r>
        <w:rPr/>
        <w:t xml:space="preserve">dollar project.  Both EMBs also intend to use ICT in the management of their day</w:t>
      </w:r>
      <w:r>
        <w:rPr/>
        <w:t xml:space="preserve">-</w:t>
      </w:r>
      <w:r>
        <w:rPr/>
        <w:t xml:space="preserve">to</w:t>
      </w:r>
      <w:r>
        <w:rPr/>
        <w:t xml:space="preserve">-</w:t>
      </w:r>
      <w:r>
        <w:rPr/>
        <w:t xml:space="preserve">day operations and, more importantly</w:t>
      </w:r>
      <w:r>
        <w:rPr/>
        <w:t xml:space="preserve">,</w:t>
      </w:r>
      <w:r>
        <w:rPr/>
        <w:t xml:space="preserve"> </w:t>
      </w:r>
      <w:r>
        <w:rPr/>
        <w:t xml:space="preserve">in the management of election results.  While UNDP and the DPs have expressed reservation to fund the new technologies, DEP will make a small contribution to enhance the capacity of the two EMBs to effectively manage ICT in key operations including voter registration and results management.  DEP will also assist NEC to purchase the voter registration technology through UNDP Long</w:t>
      </w:r>
      <w:r>
        <w:rPr/>
        <w:t xml:space="preserve">-</w:t>
      </w:r>
      <w:r>
        <w:rPr/>
        <w:t xml:space="preserve">term Agreements (LTA) in an effort to foster</w:t>
      </w:r>
      <w:r>
        <w:rPr/>
        <w:t xml:space="preserve"> </w:t>
      </w:r>
      <w:r>
        <w:rPr/>
        <w:t xml:space="preserve">value</w:t>
      </w:r>
      <w:r>
        <w:rPr/>
        <w:t xml:space="preserve">-</w:t>
      </w:r>
      <w:r>
        <w:rPr/>
        <w:t xml:space="preserve">for</w:t>
      </w:r>
      <w:r>
        <w:rPr/>
        <w:t xml:space="preserve"/>
      </w:r>
      <w:r>
        <w:rPr/>
        <w:t xml:space="preserve">money and quality assurance.</w:t>
      </w: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8"/>
        </w:numPr>
        <w:spacing w:before="0" w:after="146" w:line="248" w:lineRule="auto"/>
        <w:ind w:left="720" w:right="754" w:hanging="360"/>
      </w:pPr>
      <w:r>
        <w:rPr/>
        <w:t xml:space="preserve">Support the two EMBs to improve their ICT management capabilities in areas such as voter registration systems</w:t>
      </w:r>
      <w:r>
        <w:rPr/>
        <w:t xml:space="preserve">,</w:t>
      </w:r>
      <w:r>
        <w:rPr/>
        <w:t xml:space="preserve"> </w:t>
      </w:r>
      <w:r>
        <w:rPr/>
        <w:t xml:space="preserve">election results compilation and transmission</w:t>
      </w:r>
      <w:r>
        <w:rPr/>
        <w:t xml:space="preserve">,</w:t>
      </w:r>
      <w:r>
        <w:rPr/>
        <w:t xml:space="preserve"> </w:t>
      </w:r>
      <w:r>
        <w:rPr/>
        <w:t xml:space="preserve">and general information management systems</w:t>
      </w:r>
      <w:r>
        <w:rPr/>
        <w:t xml:space="preserve"> </w:t>
      </w:r>
    </w:p>
    <w:p>
      <w:pPr>
        <w:pStyle w:val="normal"/>
        <w:numPr>
          <w:ilvl w:val="0"/>
          <w:numId w:val="8"/>
        </w:numPr>
        <w:spacing w:before="0" w:after="146" w:line="248" w:lineRule="auto"/>
        <w:ind w:left="720" w:right="754" w:hanging="360"/>
      </w:pPr>
      <w:r>
        <w:rPr/>
        <w:t xml:space="preserve">Render advisory services for NECs effective introduction and utilization of biometric technologies. </w:t>
      </w:r>
      <w:r>
        <w:rPr/>
        <w:t xml:space="preserve"> </w:t>
      </w:r>
    </w:p>
    <w:p>
      <w:pPr>
        <w:pStyle w:val="normal"/>
        <w:numPr>
          <w:ilvl w:val="0"/>
          <w:numId w:val="8"/>
        </w:numPr>
        <w:spacing w:before="0" w:after="112" w:line="248" w:lineRule="auto"/>
        <w:ind w:left="720" w:right="754" w:hanging="360"/>
      </w:pPr>
      <w:r>
        <w:rPr/>
        <w:t xml:space="preserve">Support audit of the voter register as part of the register updating process and to improve</w:t>
      </w:r>
      <w:r>
        <w:rPr/>
        <w:t xml:space="preserve"> </w:t>
      </w:r>
      <w:r>
        <w:rPr/>
        <w:t xml:space="preserve">the</w:t>
      </w:r>
      <w:r>
        <w:rPr/>
        <w:t xml:space="preserve"> </w:t>
      </w:r>
      <w:r>
        <w:rPr/>
        <w:t xml:space="preserve">integrity</w:t>
      </w:r>
      <w:r>
        <w:rPr/>
        <w:t xml:space="preserve"> </w:t>
      </w:r>
      <w:r>
        <w:rPr/>
        <w:t xml:space="preserve">of the register</w:t>
      </w:r>
      <w:r>
        <w:rPr/>
        <w:t xml:space="preserve">.</w:t>
      </w:r>
      <w:r>
        <w:rPr/>
        <w:t xml:space="preserve"> </w:t>
      </w:r>
    </w:p>
    <w:p>
      <w:pPr>
        <w:spacing w:before="0" w:after="109" w:line="249" w:lineRule="auto"/>
        <w:ind w:left="-5" w:right="0"/>
        <w:jc w:val="left"/>
      </w:pPr>
      <w:r>
        <w:rPr>
          <w:u w:val="single" w:color="000000"/>
        </w:rPr>
        <w:t xml:space="preserve">Output 3</w:t>
      </w:r>
      <w:r>
        <w:rPr/>
        <w:t xml:space="preserve">:  </w:t>
      </w:r>
      <w:r>
        <w:rPr>
          <w:rFonts w:cs="Calibri" w:hAnsi="Calibri" w:eastAsia="Calibri" w:ascii="Calibri"/>
          <w:i w:val="1"/>
        </w:rPr>
        <w:t xml:space="preserve">EMBs capacity improved to conduct credible electoral processes</w:t>
      </w:r>
      <w:r>
        <w:rPr/>
        <w:t xml:space="preserve"> </w:t>
      </w:r>
    </w:p>
    <w:p>
      <w:pPr>
        <w:pStyle w:val="normal"/>
        <w:spacing w:before="0" w:after="3" w:line="248" w:lineRule="auto"/>
        <w:ind w:left="-5" w:right="754"/>
      </w:pPr>
      <w:r>
        <w:rPr/>
        <w:t xml:space="preserve">There is a clear need to support the EMBs to effectively carry out key activities such as voter registration, candidate management, balloting (referendum included) and results management during 2013, 2014 and 2015.</w:t>
      </w: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9"/>
        </w:numPr>
        <w:spacing w:before="0" w:after="142" w:line="248" w:lineRule="auto"/>
        <w:ind w:left="720" w:right="754" w:hanging="360"/>
      </w:pPr>
      <w:r>
        <w:rPr/>
        <w:t xml:space="preserve">Support voter registration and de</w:t>
      </w:r>
      <w:r>
        <w:rPr/>
        <w:t xml:space="preserve">-</w:t>
      </w:r>
      <w:r>
        <w:rPr/>
        <w:t xml:space="preserve">duplication of the voter register </w:t>
      </w:r>
      <w:r>
        <w:rPr/>
        <w:t xml:space="preserve"> </w:t>
      </w:r>
    </w:p>
    <w:p>
      <w:pPr>
        <w:pStyle w:val="normal"/>
        <w:numPr>
          <w:ilvl w:val="0"/>
          <w:numId w:val="9"/>
        </w:numPr>
        <w:spacing w:before="0" w:after="142" w:line="248" w:lineRule="auto"/>
        <w:ind w:left="720" w:right="754" w:hanging="360"/>
      </w:pPr>
      <w:r>
        <w:rPr/>
        <w:t xml:space="preserve">Facilitate conduct of 2014 referendum and the 2015 general elections and Zanzibar elections</w:t>
      </w:r>
      <w:r>
        <w:rPr/>
        <w:t xml:space="preserve"> </w:t>
      </w:r>
    </w:p>
    <w:p>
      <w:pPr>
        <w:pStyle w:val="normal"/>
        <w:numPr>
          <w:ilvl w:val="0"/>
          <w:numId w:val="9"/>
        </w:numPr>
        <w:spacing w:before="0" w:after="109" w:line="248" w:lineRule="auto"/>
        <w:ind w:left="720" w:right="754" w:hanging="360"/>
      </w:pPr>
      <w:r>
        <w:rPr/>
        <w:t xml:space="preserve">Render technical assistance and advisory services in planning and operational roll</w:t>
      </w:r>
      <w:r>
        <w:rPr/>
        <w:t xml:space="preserve">-</w:t>
      </w:r>
      <w:r>
        <w:rPr/>
        <w:t xml:space="preserve">out to be embedded in the EMBs</w:t>
      </w:r>
      <w:r>
        <w:rPr/>
        <w:t xml:space="preserve">,</w:t>
      </w:r>
      <w:r>
        <w:rPr/>
        <w:t xml:space="preserve"> </w:t>
      </w:r>
    </w:p>
    <w:p>
      <w:pPr>
        <w:spacing w:before="0" w:after="109" w:line="249" w:lineRule="auto"/>
        <w:ind w:left="-5" w:right="0"/>
        <w:jc w:val="left"/>
      </w:pPr>
      <w:r>
        <w:rPr>
          <w:u w:val="single" w:color="000000"/>
        </w:rPr>
        <w:t xml:space="preserve">Output 4</w:t>
      </w:r>
      <w:r>
        <w:rPr/>
        <w:t xml:space="preserve">: </w:t>
      </w:r>
      <w:r>
        <w:rPr>
          <w:rFonts w:cs="Calibri" w:hAnsi="Calibri" w:eastAsia="Calibri" w:ascii="Calibri"/>
          <w:i w:val="1"/>
        </w:rPr>
        <w:t xml:space="preserve">EMBs staff professional development enhanced.</w:t>
      </w:r>
      <w:r>
        <w:rPr/>
        <w:t xml:space="preserve"> </w:t>
      </w:r>
    </w:p>
    <w:p>
      <w:pPr>
        <w:pStyle w:val="normal"/>
        <w:spacing w:before="0" w:after="112" w:line="248" w:lineRule="auto"/>
        <w:ind w:left="-5" w:right="754"/>
      </w:pPr>
      <w:r>
        <w:rPr/>
        <w:t xml:space="preserve">Staff professionalization and capacity development is critical for the delivery of credible elections and public confidence in the EMB. There is therefore a need for the EMBs to undertake comprehensive and sustained efforts to professionalize their staff especially during non</w:t>
      </w:r>
      <w:r>
        <w:rPr/>
        <w:t xml:space="preserve">-</w:t>
      </w:r>
      <w:r>
        <w:rPr/>
        <w:t xml:space="preserve">election periods.  The BRIDGE training will be utilized for EMB capacity development, including the BRIDGE gender and election module.</w:t>
      </w:r>
      <w:r>
        <w:rPr/>
        <w:t xml:space="preserve"> </w:t>
      </w:r>
    </w:p>
    <w:p>
      <w:pPr>
        <w:spacing w:before="0" w:after="98" w:line="259" w:lineRule="auto"/>
        <w:ind w:left="0" w:right="0" w:firstLine="0"/>
        <w:jc w:val="left"/>
      </w:pPr>
      <w:r>
        <w:rPr/>
        <w:t xml:space="preserve"> </w:t>
      </w:r>
    </w:p>
    <w:p>
      <w:pPr>
        <w:spacing w:before="0" w:after="125" w:line="265" w:lineRule="auto"/>
        <w:ind w:left="-5" w:right="5436"/>
        <w:jc w:val="left"/>
      </w:pPr>
      <w:r>
        <w:rPr>
          <w:u w:val="single" w:color="000000"/>
        </w:rPr>
        <w:t xml:space="preserve">Activities</w:t>
      </w:r>
      <w:r>
        <w:rPr/>
        <w:t xml:space="preserve">: </w:t>
      </w:r>
      <w:r>
        <w:rPr/>
        <w:t xml:space="preserve"> </w:t>
      </w:r>
    </w:p>
    <w:p>
      <w:pPr>
        <w:pStyle w:val="normal"/>
        <w:numPr>
          <w:ilvl w:val="0"/>
          <w:numId w:val="10"/>
        </w:numPr>
        <w:spacing w:before="0" w:after="143" w:line="248" w:lineRule="auto"/>
        <w:ind w:left="720" w:right="754" w:hanging="360"/>
      </w:pPr>
      <w:r>
        <w:rPr/>
        <w:t xml:space="preserve">Develop EMBs capacity to conduct the training of trainers</w:t>
      </w:r>
      <w:r>
        <w:rPr/>
        <w:t xml:space="preserve"> </w:t>
      </w:r>
      <w:r>
        <w:rPr/>
        <w:t xml:space="preserve">using BRIDGE</w:t>
      </w:r>
      <w:r>
        <w:rPr/>
        <w:t xml:space="preserve"> </w:t>
      </w:r>
      <w:r>
        <w:rPr/>
        <w:t xml:space="preserve">and train a critical mass of EMBs officials in election administration</w:t>
      </w:r>
      <w:r>
        <w:rPr/>
        <w:t xml:space="preserve"> </w:t>
      </w:r>
    </w:p>
    <w:p>
      <w:pPr>
        <w:pStyle w:val="normal"/>
        <w:numPr>
          <w:ilvl w:val="0"/>
          <w:numId w:val="10"/>
        </w:numPr>
        <w:spacing w:before="0" w:after="146" w:line="248" w:lineRule="auto"/>
        <w:ind w:left="720" w:right="754" w:hanging="360"/>
      </w:pPr>
      <w:r>
        <w:rPr/>
        <w:t xml:space="preserve">Support study missions and staff exchanges to promote experience sharing and skills transfer between the two EMBs and beyond.</w:t>
      </w:r>
      <w:r>
        <w:rPr/>
        <w:t xml:space="preserve"> </w:t>
      </w:r>
    </w:p>
    <w:p>
      <w:pPr>
        <w:pStyle w:val="normal"/>
        <w:numPr>
          <w:ilvl w:val="0"/>
          <w:numId w:val="10"/>
        </w:numPr>
        <w:spacing w:before="0" w:after="112" w:line="248" w:lineRule="auto"/>
        <w:ind w:left="720" w:right="754" w:hanging="360"/>
      </w:pPr>
      <w:r>
        <w:rPr/>
        <w:t xml:space="preserve">This may include capacity building for gender aware electoral administration, including through the BRIDGE gender and election module.</w:t>
      </w:r>
      <w:r>
        <w:rPr/>
        <w:t xml:space="preserve"> </w:t>
      </w:r>
    </w:p>
    <w:p>
      <w:pPr>
        <w:spacing w:before="0" w:after="98" w:line="259" w:lineRule="auto"/>
        <w:ind w:left="0" w:right="0" w:firstLine="0"/>
        <w:jc w:val="left"/>
      </w:pPr>
      <w:r>
        <w:rPr/>
        <w:t xml:space="preserve"> </w:t>
      </w:r>
    </w:p>
    <w:p>
      <w:pPr>
        <w:pStyle w:val="normal"/>
        <w:spacing w:before="0" w:after="112" w:line="248" w:lineRule="auto"/>
        <w:ind w:left="-5" w:right="754"/>
      </w:pPr>
      <w:r>
        <w:rPr>
          <w:u w:val="single" w:color="000000"/>
        </w:rPr>
        <w:t xml:space="preserve">Output 5</w:t>
      </w:r>
      <w:r>
        <w:rPr/>
        <w:t xml:space="preserve">: </w:t>
      </w:r>
      <w:r>
        <w:rPr/>
        <w:t xml:space="preserve">Delivery of voter education and information improved</w:t>
      </w:r>
      <w:r>
        <w:rPr/>
        <w:t xml:space="preserve"> </w:t>
      </w:r>
      <w:r>
        <w:rPr/>
        <w:t xml:space="preserve">and extended to the not so easily reached citizens.</w:t>
      </w:r>
      <w:r>
        <w:rPr/>
        <w:t xml:space="preserve"> </w:t>
      </w:r>
    </w:p>
    <w:p>
      <w:pPr>
        <w:pStyle w:val="normal"/>
        <w:spacing w:before="0" w:after="112" w:line="248" w:lineRule="auto"/>
        <w:ind w:left="-5" w:right="754"/>
      </w:pPr>
      <w:r>
        <w:rPr/>
        <w:t xml:space="preserve">Deepening democracy in Tanzania requires concerted efforts to identify and inform potential voters about the democratic process, this is</w:t>
      </w:r>
      <w:r>
        <w:rPr/>
        <w:t xml:space="preserve"> </w:t>
      </w:r>
      <w:r>
        <w:rPr/>
        <w:t xml:space="preserve">especially important following lowest recorded voter turnout</w:t>
      </w:r>
      <w:r>
        <w:rPr/>
        <w:t xml:space="preserve"> </w:t>
      </w:r>
      <w:r>
        <w:rPr/>
        <w:t xml:space="preserve">in the history of the country recorded at 42% in 20</w:t>
      </w:r>
      <w:r>
        <w:rPr/>
        <w:t xml:space="preserve">10.</w:t>
      </w:r>
      <w:r>
        <w:rPr/>
        <w:t xml:space="preserve"> </w:t>
      </w:r>
      <w:r>
        <w:rPr/>
        <w:t xml:space="preserve">Increased incidents of election violence recorded around the country and especially on the isles in past elections has led observers to recommend that a closer look at the voters education programmes is needed and a strategy be adopted for voter education</w:t>
      </w:r>
      <w:r>
        <w:rPr/>
        <w:t xml:space="preserve"> </w:t>
      </w:r>
      <w:r>
        <w:rPr/>
        <w:t xml:space="preserve">programmes that focus on developing educational messages aimed at building a culture of democracy and peace</w:t>
      </w:r>
      <w:r>
        <w:rPr/>
        <w:t xml:space="preserve">. </w:t>
      </w:r>
      <w:r>
        <w:rPr/>
        <w:t xml:space="preserve">Such programmes should particularly target the historically marginalized groups such as rural voters, the illiterate, women, youth and PWDs</w:t>
      </w:r>
      <w:r>
        <w:rPr/>
        <w:t xml:space="preserve">.</w:t>
      </w:r>
      <w:r>
        <w:rPr/>
        <w:t xml:space="preserve">  </w:t>
      </w:r>
    </w:p>
    <w:p>
      <w:pPr>
        <w:pStyle w:val="normal"/>
        <w:spacing w:before="0" w:after="112" w:line="248" w:lineRule="auto"/>
        <w:ind w:left="-5" w:right="754"/>
      </w:pPr>
      <w:r>
        <w:rPr/>
        <w:t xml:space="preserve">Under this project various</w:t>
      </w:r>
      <w:r>
        <w:rPr/>
        <w:t xml:space="preserve"> </w:t>
      </w:r>
      <w:r>
        <w:rPr/>
        <w:t xml:space="preserve">media forms will be used including mainstream media, social media and also community media to reach the target group. The interventions will be based on ongoing work in cooperation with UNESCO and lessons from the region in this regard. The project will conduct a mapping exercise to assess the impact of social media on civic engagement with democracy and elections. The project will further</w:t>
      </w:r>
      <w:r>
        <w:rPr/>
        <w:t xml:space="preserve"> </w:t>
      </w:r>
      <w:r>
        <w:rPr/>
        <w:t xml:space="preserve">support infrastructure development for the utilization of social media civic engagement with democracy and election and to promote vote education and information</w:t>
      </w:r>
      <w:r>
        <w:rPr/>
        <w:t xml:space="preserve">.</w:t>
      </w:r>
      <w:r>
        <w:rPr/>
        <w:t xml:space="preserve"> </w:t>
      </w:r>
    </w:p>
    <w:p>
      <w:pPr>
        <w:spacing w:before="0" w:after="125" w:line="265" w:lineRule="auto"/>
        <w:ind w:left="-5" w:right="5436"/>
        <w:jc w:val="left"/>
      </w:pPr>
      <w:r>
        <w:rPr>
          <w:u w:val="single" w:color="000000"/>
        </w:rPr>
        <w:t xml:space="preserve">Activities:</w:t>
      </w:r>
      <w:r>
        <w:rPr/>
        <w:t xml:space="preserve"> </w:t>
      </w:r>
      <w:r>
        <w:rPr/>
        <w:t xml:space="preserve"> </w:t>
      </w:r>
    </w:p>
    <w:p>
      <w:pPr>
        <w:pStyle w:val="normal"/>
        <w:numPr>
          <w:ilvl w:val="0"/>
          <w:numId w:val="11"/>
        </w:numPr>
        <w:spacing w:before="0" w:after="146" w:line="248" w:lineRule="auto"/>
        <w:ind w:left="720" w:right="754" w:hanging="360"/>
      </w:pPr>
      <w:r>
        <w:rPr/>
        <w:t xml:space="preserve">Support the review, design and implementation of voter education and information working closely with CSOs, women’s groups</w:t>
      </w:r>
      <w:r>
        <w:rPr/>
        <w:t xml:space="preserve"> </w:t>
      </w:r>
      <w:r>
        <w:rPr/>
        <w:t xml:space="preserve">and the media. </w:t>
      </w:r>
      <w:r>
        <w:rPr/>
        <w:t xml:space="preserve"> </w:t>
      </w:r>
    </w:p>
    <w:p>
      <w:pPr>
        <w:pStyle w:val="normal"/>
        <w:numPr>
          <w:ilvl w:val="0"/>
          <w:numId w:val="11"/>
        </w:numPr>
        <w:spacing w:before="0" w:after="3" w:line="248" w:lineRule="auto"/>
        <w:ind w:left="720" w:right="754" w:hanging="360"/>
      </w:pPr>
      <w:r>
        <w:rPr/>
        <w:t xml:space="preserve">Undertake surveys to assess public</w:t>
      </w:r>
      <w:r>
        <w:rPr/>
        <w:t xml:space="preserve"> </w:t>
      </w:r>
      <w:r>
        <w:rPr/>
        <w:t xml:space="preserve">understanding of democratic values and adjust interventions to respond to changing trends and needs. </w:t>
      </w:r>
      <w:r>
        <w:rPr/>
        <w:t xml:space="preserve"> </w:t>
      </w:r>
    </w:p>
    <w:p>
      <w:pPr>
        <w:pStyle w:val="normal"/>
        <w:numPr>
          <w:ilvl w:val="0"/>
          <w:numId w:val="11"/>
        </w:numPr>
        <w:spacing w:before="0" w:after="146" w:line="248" w:lineRule="auto"/>
        <w:ind w:left="720" w:right="754" w:hanging="360"/>
      </w:pPr>
      <w:r>
        <w:rPr/>
        <w:t xml:space="preserve">Support NEC and ZEC to establish small and medium grants scheme for</w:t>
      </w:r>
      <w:r>
        <w:rPr/>
        <w:t xml:space="preserve"> </w:t>
      </w:r>
      <w:r>
        <w:rPr/>
        <w:t xml:space="preserve">CSOs, CBOs, NGOs and associations to conduct voter education and public information activities on the deepening democracy values and principles.</w:t>
      </w:r>
      <w:r>
        <w:rPr/>
        <w:t xml:space="preserve"> </w:t>
      </w:r>
    </w:p>
    <w:p>
      <w:pPr>
        <w:pStyle w:val="normal"/>
        <w:numPr>
          <w:ilvl w:val="0"/>
          <w:numId w:val="11"/>
        </w:numPr>
        <w:spacing w:before="0" w:after="143" w:line="248" w:lineRule="auto"/>
        <w:ind w:left="720" w:right="754" w:hanging="360"/>
      </w:pPr>
      <w:r>
        <w:rPr/>
        <w:t xml:space="preserve">Support community media to serve as a voice for democratic accountability and source of voter</w:t>
      </w:r>
      <w:r>
        <w:rPr/>
        <w:t xml:space="preserve"> </w:t>
      </w:r>
      <w:r>
        <w:rPr/>
        <w:t xml:space="preserve">information: facilitate research, training and advocacy in this area.</w:t>
      </w:r>
      <w:r>
        <w:rPr/>
        <w:t xml:space="preserve"> </w:t>
      </w:r>
    </w:p>
    <w:p>
      <w:pPr>
        <w:pStyle w:val="normal"/>
        <w:numPr>
          <w:ilvl w:val="0"/>
          <w:numId w:val="11"/>
        </w:numPr>
        <w:spacing w:before="0" w:after="146" w:line="248" w:lineRule="auto"/>
        <w:ind w:left="720" w:right="754" w:hanging="360"/>
      </w:pPr>
      <w:r>
        <w:rPr/>
        <w:t xml:space="preserve">Undertake mapping exercise to assess the impact of social media in promoting civic engagement with democracy and elections.</w:t>
      </w:r>
      <w:r>
        <w:rPr/>
        <w:t xml:space="preserve"> </w:t>
      </w:r>
    </w:p>
    <w:p>
      <w:pPr>
        <w:pStyle w:val="normal"/>
        <w:numPr>
          <w:ilvl w:val="0"/>
          <w:numId w:val="11"/>
        </w:numPr>
        <w:spacing w:before="0" w:after="108" w:line="248" w:lineRule="auto"/>
        <w:ind w:left="720" w:right="754" w:hanging="360"/>
      </w:pPr>
      <w:r>
        <w:rPr/>
        <w:t xml:space="preserve">Support to NEC and ZEC in the analysis of potential use of social media</w:t>
      </w:r>
      <w:r>
        <w:rPr/>
        <w:t xml:space="preserve">.</w:t>
      </w:r>
      <w:r>
        <w:rPr/>
        <w:t xml:space="preserve">  </w:t>
      </w:r>
    </w:p>
    <w:p>
      <w:pPr>
        <w:spacing w:before="0" w:after="98" w:line="259" w:lineRule="auto"/>
        <w:ind w:left="0" w:right="0" w:firstLine="0"/>
        <w:jc w:val="left"/>
      </w:pPr>
      <w:r>
        <w:rPr/>
        <w:t xml:space="preserve"> </w:t>
      </w:r>
    </w:p>
    <w:p>
      <w:pPr>
        <w:spacing w:before="0" w:after="109" w:line="249" w:lineRule="auto"/>
        <w:ind w:left="-5" w:right="0"/>
        <w:jc w:val="left"/>
      </w:pPr>
      <w:r>
        <w:rPr>
          <w:u w:val="single" w:color="000000"/>
        </w:rPr>
        <w:t xml:space="preserve">Output 6</w:t>
      </w:r>
      <w:r>
        <w:rPr/>
        <w:t xml:space="preserve">: </w:t>
      </w:r>
      <w:r>
        <w:rPr>
          <w:rFonts w:cs="Calibri" w:hAnsi="Calibri" w:eastAsia="Calibri" w:ascii="Calibri"/>
          <w:i w:val="1"/>
        </w:rPr>
        <w:t xml:space="preserve">Mechanism for election observer access to electoral process improved</w:t>
      </w:r>
      <w:r>
        <w:rPr/>
        <w:t xml:space="preserve"> </w:t>
      </w:r>
    </w:p>
    <w:p>
      <w:pPr>
        <w:pStyle w:val="normal"/>
        <w:spacing w:before="0" w:after="109" w:line="248" w:lineRule="auto"/>
        <w:ind w:left="-5" w:right="754"/>
      </w:pPr>
      <w:r>
        <w:rPr/>
        <w:t xml:space="preserve">There is a</w:t>
      </w:r>
      <w:r>
        <w:rPr/>
        <w:t xml:space="preserve"> </w:t>
      </w:r>
      <w:r>
        <w:rPr/>
        <w:t xml:space="preserve">need for election observers, both international and domestic, to be thoroughly prepared to engage with the electoral process and the EMB</w:t>
      </w:r>
      <w:r>
        <w:rPr/>
        <w:t xml:space="preserve">.</w:t>
      </w:r>
      <w:r>
        <w:rPr/>
        <w:t xml:space="preserve"> </w:t>
      </w:r>
      <w:r>
        <w:rPr/>
        <w:t xml:space="preserve">This</w:t>
      </w:r>
      <w:r>
        <w:rPr/>
        <w:t xml:space="preserve"> </w:t>
      </w:r>
      <w:r>
        <w:rPr/>
        <w:t xml:space="preserve">could be achieved through mechanisms f</w:t>
      </w:r>
      <w:r>
        <w:rPr/>
        <w:t xml:space="preserve">o</w:t>
      </w:r>
      <w:r>
        <w:rPr/>
        <w:t xml:space="preserve">r</w:t>
      </w:r>
      <w:r>
        <w:rPr/>
        <w:t xml:space="preserve"> </w:t>
      </w:r>
      <w:r>
        <w:rPr/>
        <w:t xml:space="preserve">inviting, accrediting</w:t>
      </w:r>
      <w:r>
        <w:rPr/>
        <w:t xml:space="preserve"> </w:t>
      </w:r>
      <w:r>
        <w:rPr/>
        <w:t xml:space="preserve">and briefing</w:t>
      </w:r>
      <w:r>
        <w:rPr/>
        <w:t xml:space="preserve"> </w:t>
      </w:r>
      <w:r>
        <w:rPr/>
        <w:t xml:space="preserve">observers before elections</w:t>
      </w:r>
      <w:r>
        <w:rPr/>
        <w:t xml:space="preserve">,</w:t>
      </w:r>
      <w:r>
        <w:rPr/>
        <w:t xml:space="preserve"> </w:t>
      </w:r>
      <w:r>
        <w:rPr/>
        <w:t xml:space="preserve">and for accessing and benefiting</w:t>
      </w:r>
      <w:r>
        <w:rPr/>
        <w:t xml:space="preserve"> </w:t>
      </w:r>
      <w:r>
        <w:rPr/>
        <w:t xml:space="preserve">from their reports after elections.  This EMB</w:t>
      </w:r>
      <w:r>
        <w:rPr/>
        <w:t xml:space="preserve">-</w:t>
      </w:r>
      <w:r>
        <w:rPr/>
        <w:t xml:space="preserve">observer relationship is important for fostering EMB legal and operational reform between elections</w:t>
      </w:r>
      <w:r>
        <w:rPr/>
        <w:t xml:space="preserve">. </w:t>
      </w: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12"/>
        </w:numPr>
        <w:spacing w:before="0" w:after="142" w:line="248" w:lineRule="auto"/>
        <w:ind w:left="720" w:right="754" w:hanging="360"/>
      </w:pPr>
      <w:r>
        <w:rPr/>
        <w:t xml:space="preserve">Support the EMBs to develop observer engagement strategies during and after elections</w:t>
      </w:r>
      <w:r>
        <w:rPr/>
        <w:t xml:space="preserve">; </w:t>
      </w:r>
    </w:p>
    <w:p>
      <w:pPr>
        <w:pStyle w:val="normal"/>
        <w:numPr>
          <w:ilvl w:val="0"/>
          <w:numId w:val="12"/>
        </w:numPr>
        <w:spacing w:before="0" w:after="146" w:line="248" w:lineRule="auto"/>
        <w:ind w:left="720" w:right="754" w:hanging="360"/>
      </w:pPr>
      <w:r>
        <w:rPr/>
        <w:t xml:space="preserve">Support EMB planning and implementation of efficient procedures for invitation, accreditation, briefing and debriefing of observer delegation;</w:t>
      </w:r>
      <w:r>
        <w:rPr/>
        <w:t xml:space="preserve"> </w:t>
      </w:r>
    </w:p>
    <w:p>
      <w:pPr>
        <w:pStyle w:val="normal"/>
        <w:numPr>
          <w:ilvl w:val="0"/>
          <w:numId w:val="12"/>
        </w:numPr>
        <w:spacing w:before="0" w:after="232" w:line="248" w:lineRule="auto"/>
        <w:ind w:left="720" w:right="754" w:hanging="360"/>
      </w:pPr>
      <w:r>
        <w:rPr/>
        <w:t xml:space="preserve">Facilitate a study to map out the two EMBs experiences in relation to election observer engagement and convene experience sharing workshops involving stakeholder including political parties and CSOs.</w:t>
      </w:r>
      <w:r>
        <w:rPr/>
        <w:t xml:space="preserve"> </w:t>
      </w:r>
    </w:p>
    <w:p>
      <w:pPr>
        <w:pStyle w:val="heading1"/>
        <w:spacing w:before="0" w:after="44" w:line="249" w:lineRule="auto"/>
        <w:ind w:left="-5" w:right="0"/>
      </w:pPr>
      <w:r>
        <w:rPr>
          <w:rFonts w:cs="Calibri" w:hAnsi="Calibri" w:eastAsia="Calibri" w:ascii="Calibri"/>
          <w:i w:val="1"/>
        </w:rPr>
        <w:t xml:space="preserve">Component 3:  Promote inclusive participation in political and electoral processes  </w:t>
      </w:r>
      <w:r>
        <w:rPr>
          <w:rFonts w:cs="Calibri" w:hAnsi="Calibri" w:eastAsia="Calibri" w:ascii="Calibri"/>
          <w:i w:val="1"/>
        </w:rPr>
        <w:t xml:space="preserve"> </w:t>
      </w:r>
    </w:p>
    <w:p>
      <w:pPr>
        <w:pStyle w:val="normal"/>
        <w:spacing w:before="0" w:after="127" w:line="248" w:lineRule="auto"/>
        <w:ind w:left="-5" w:right="754"/>
      </w:pPr>
      <w:r>
        <w:rPr/>
        <w:t xml:space="preserve">Despite the country’s track record in</w:t>
      </w:r>
      <w:r>
        <w:rPr/>
        <w:t xml:space="preserve"> </w:t>
      </w:r>
      <w:r>
        <w:rPr/>
        <w:t xml:space="preserve">promoting the rights</w:t>
      </w:r>
      <w:r>
        <w:rPr/>
        <w:t xml:space="preserve"> </w:t>
      </w:r>
      <w:r>
        <w:rPr/>
        <w:t xml:space="preserve">of women, young people and other historically marginalized groups to enjoy equal status with other citizens and the fact that Tanzania is a signatory to key international protocols that promote equality of citizens, the country still has a long way to go to achieve equal opportunities for women, the youth and</w:t>
      </w:r>
      <w:r>
        <w:rPr/>
        <w:t xml:space="preserve"> </w:t>
      </w:r>
      <w:r>
        <w:rPr/>
        <w:t xml:space="preserve">people with disabilities. Although the introduction of affirmative action for women in parliament has increased women’s representation in parliament to </w:t>
      </w:r>
      <w:r>
        <w:rPr/>
        <w:t xml:space="preserve">36% </w:t>
      </w:r>
      <w:r>
        <w:rPr/>
        <w:t xml:space="preserve">- </w:t>
      </w:r>
      <w:r>
        <w:rPr/>
        <w:t xml:space="preserve">giving Tanzania the </w:t>
      </w:r>
      <w:r>
        <w:rPr/>
        <w:t xml:space="preserve">4</w:t>
      </w:r>
      <w:r>
        <w:rPr>
          <w:vertAlign w:val="superscript"/>
        </w:rPr>
        <w:t xml:space="preserve">th</w:t>
      </w:r>
      <w:r>
        <w:rPr/>
        <w:t xml:space="preserve">  o</w:t>
      </w:r>
      <w:r>
        <w:rPr/>
        <w:t xml:space="preserve">n the continent and 20</w:t>
      </w:r>
      <w:r>
        <w:rPr>
          <w:vertAlign w:val="superscript"/>
        </w:rPr>
        <w:t xml:space="preserve">th</w:t>
      </w:r>
      <w:r>
        <w:rPr/>
        <w:t xml:space="preserve"> </w:t>
      </w:r>
      <w:r>
        <w:rPr/>
        <w:t xml:space="preserve">in the word. </w:t>
      </w:r>
      <w:r>
        <w:rPr/>
        <w:t xml:space="preserve"> </w:t>
      </w:r>
    </w:p>
    <w:p>
      <w:pPr>
        <w:pStyle w:val="normal"/>
        <w:spacing w:before="0" w:after="112" w:line="248" w:lineRule="auto"/>
        <w:ind w:left="-5" w:right="754"/>
      </w:pPr>
      <w:r>
        <w:rPr/>
        <w:t xml:space="preserve">There is</w:t>
      </w:r>
      <w:r>
        <w:rPr/>
        <w:t xml:space="preserve"> </w:t>
      </w:r>
      <w:r>
        <w:rPr/>
        <w:t xml:space="preserve">still a perception</w:t>
      </w:r>
      <w:r>
        <w:rPr/>
        <w:t xml:space="preserve"> </w:t>
      </w:r>
      <w:r>
        <w:rPr/>
        <w:t xml:space="preserve">by some that women who get to parliament through this avenue are second</w:t>
      </w:r>
      <w:r>
        <w:rPr/>
        <w:t xml:space="preserve">-</w:t>
      </w:r>
      <w:r>
        <w:rPr/>
        <w:t xml:space="preserve">class MPs compared to those who contest and win open parliamentary seats. Women lack access to economic resources to campaign for elections and they still face discrimination based on socio</w:t>
      </w:r>
      <w:r>
        <w:rPr/>
        <w:t xml:space="preserve">-</w:t>
      </w:r>
      <w:r>
        <w:rPr/>
        <w:t xml:space="preserve">cultural prejudices.  Other groups such as the youth and PWDs face similar challenges and these accounts</w:t>
      </w:r>
      <w:r>
        <w:rPr/>
        <w:t xml:space="preserve"> </w:t>
      </w:r>
      <w:r>
        <w:rPr/>
        <w:t xml:space="preserve">for their low representation in decision making processes.  Against this background, more work lies ahead to deal with the lack of opportunities for women, youth and PWDs to engage effectively in political and electoral processes This means addressing factors</w:t>
      </w:r>
      <w:r>
        <w:rPr/>
        <w:t xml:space="preserve"> </w:t>
      </w:r>
      <w:r>
        <w:rPr/>
        <w:t xml:space="preserve">that mitigate inclusive participation by these groups and the creation of sustainable processes to empower</w:t>
      </w:r>
      <w:r>
        <w:rPr/>
        <w:t xml:space="preserve"> </w:t>
      </w:r>
      <w:r>
        <w:rPr/>
        <w:t xml:space="preserve">and build capacities for effective participation in politics and elections, i.e. as candidates, voters, and election officials.</w:t>
      </w:r>
      <w:r>
        <w:rPr/>
        <w:t xml:space="preserve"> </w:t>
      </w:r>
    </w:p>
    <w:p>
      <w:pPr>
        <w:spacing w:before="0" w:after="109" w:line="249" w:lineRule="auto"/>
        <w:ind w:left="-5" w:right="0"/>
        <w:jc w:val="left"/>
      </w:pPr>
      <w:r>
        <w:rPr>
          <w:u w:val="single" w:color="000000"/>
        </w:rPr>
        <w:t xml:space="preserve">Output 1</w:t>
      </w:r>
      <w:r>
        <w:rPr/>
        <w:t xml:space="preserve">:   </w:t>
      </w:r>
      <w:r>
        <w:rPr>
          <w:rFonts w:cs="Calibri" w:hAnsi="Calibri" w:eastAsia="Calibri" w:ascii="Calibri"/>
          <w:i w:val="1"/>
        </w:rPr>
        <w:t xml:space="preserve">Inclusive participation in political party structures and processes enhanced</w:t>
      </w:r>
      <w:r>
        <w:rPr/>
        <w:t xml:space="preserve"> </w:t>
      </w:r>
    </w:p>
    <w:p>
      <w:pPr>
        <w:pStyle w:val="normal"/>
        <w:spacing w:before="0" w:after="112" w:line="248" w:lineRule="auto"/>
        <w:ind w:left="-5" w:right="754"/>
      </w:pPr>
      <w:r>
        <w:rPr/>
        <w:t xml:space="preserve">One area where women, youth and</w:t>
      </w:r>
      <w:r>
        <w:rPr/>
        <w:t xml:space="preserve"> </w:t>
      </w:r>
      <w:r>
        <w:rPr/>
        <w:t xml:space="preserve">PWDs need effective participation and representation is in the structures and processes of political parties including leadership positions</w:t>
      </w:r>
      <w:r>
        <w:rPr/>
        <w:t xml:space="preserve"> </w:t>
      </w:r>
      <w:r>
        <w:rPr/>
        <w:t xml:space="preserve">and</w:t>
      </w:r>
      <w:r>
        <w:rPr/>
        <w:t xml:space="preserve"> </w:t>
      </w:r>
      <w:r>
        <w:rPr/>
        <w:t xml:space="preserve">their</w:t>
      </w:r>
      <w:r>
        <w:rPr/>
        <w:t xml:space="preserve"> </w:t>
      </w:r>
      <w:r>
        <w:rPr/>
        <w:t xml:space="preserve">running for public office. They need encouragement to compete for party political and public elective offices; they need training on campaign strategies, public speaking and debating skills, policy development, </w:t>
      </w:r>
      <w:r>
        <w:rPr/>
        <w:t xml:space="preserve">lobbying and political networking.</w:t>
      </w:r>
      <w:r>
        <w:rPr/>
        <w:t xml:space="preserve"> </w:t>
      </w:r>
      <w:r>
        <w:rPr/>
        <w:t xml:space="preserve">Activities under this output will be facilitated by UNDP, UN Women, and UNESCO where an activity is related to community media</w:t>
      </w:r>
      <w:r>
        <w:rPr/>
        <w:t xml:space="preserve">.</w:t>
      </w:r>
      <w:r>
        <w:rPr/>
        <w:t xml:space="preserve"> </w:t>
      </w:r>
    </w:p>
    <w:p>
      <w:pPr>
        <w:spacing w:before="0" w:after="125" w:line="265" w:lineRule="auto"/>
        <w:ind w:left="-5" w:right="5436"/>
        <w:jc w:val="left"/>
      </w:pPr>
      <w:r>
        <w:rPr>
          <w:u w:val="single" w:color="000000"/>
        </w:rPr>
        <w:t xml:space="preserve">Activities</w:t>
      </w:r>
      <w:r>
        <w:rPr/>
        <w:t xml:space="preserve">:</w:t>
      </w:r>
      <w:r>
        <w:rPr/>
        <w:t xml:space="preserve"> </w:t>
      </w:r>
    </w:p>
    <w:p>
      <w:pPr>
        <w:pStyle w:val="normal"/>
        <w:numPr>
          <w:ilvl w:val="0"/>
          <w:numId w:val="13"/>
        </w:numPr>
        <w:spacing w:before="0" w:after="143" w:line="248" w:lineRule="auto"/>
        <w:ind w:left="1080" w:right="754" w:hanging="360"/>
      </w:pPr>
      <w:r>
        <w:rPr/>
        <w:t xml:space="preserve">Support skills and capacity development for women, youth and PWDs as potential candidates and party leaders; </w:t>
      </w:r>
      <w:r>
        <w:rPr/>
        <w:t xml:space="preserve"> </w:t>
      </w:r>
    </w:p>
    <w:p>
      <w:pPr>
        <w:pStyle w:val="normal"/>
        <w:numPr>
          <w:ilvl w:val="0"/>
          <w:numId w:val="13"/>
        </w:numPr>
        <w:spacing w:before="0" w:after="146" w:line="248" w:lineRule="auto"/>
        <w:ind w:left="1080" w:right="754" w:hanging="360"/>
      </w:pPr>
      <w:r>
        <w:rPr/>
        <w:t xml:space="preserve">Promote public awareness on gender equality and women’s empowerment through community dialogue </w:t>
      </w:r>
      <w:r>
        <w:rPr/>
        <w:t xml:space="preserve">(</w:t>
      </w:r>
      <w:r>
        <w:rPr/>
        <w:t xml:space="preserve">at grass</w:t>
      </w:r>
      <w:r>
        <w:rPr/>
        <w:t xml:space="preserve">-</w:t>
      </w:r>
      <w:r>
        <w:rPr/>
        <w:t xml:space="preserve">root levels) and</w:t>
      </w:r>
      <w:r>
        <w:rPr/>
        <w:t xml:space="preserve"> </w:t>
      </w:r>
      <w:r>
        <w:rPr/>
        <w:t xml:space="preserve">community media outputs as well as</w:t>
      </w:r>
      <w:r>
        <w:rPr/>
        <w:t xml:space="preserve"> </w:t>
      </w:r>
      <w:r>
        <w:rPr/>
        <w:t xml:space="preserve">CSO</w:t>
      </w:r>
      <w:r>
        <w:rPr/>
        <w:t xml:space="preserve"/>
      </w:r>
      <w:r>
        <w:rPr/>
        <w:t xml:space="preserve">based campaigns and outdoor activities (cinema, drama, dance and music) as part of voter education.</w:t>
      </w:r>
      <w:r>
        <w:rPr/>
        <w:t xml:space="preserve"> </w:t>
      </w:r>
      <w:r>
        <w:rPr/>
        <w:t xml:space="preserve">This activity will be facilitated by UNESCO, UNDP and UN Women.</w:t>
      </w:r>
      <w:r>
        <w:rPr/>
        <w:t xml:space="preserve"> </w:t>
      </w:r>
    </w:p>
    <w:p>
      <w:pPr>
        <w:pStyle w:val="normal"/>
        <w:numPr>
          <w:ilvl w:val="0"/>
          <w:numId w:val="13"/>
        </w:numPr>
        <w:spacing w:before="0" w:after="232" w:line="248" w:lineRule="auto"/>
        <w:ind w:left="1080" w:right="754" w:hanging="360"/>
      </w:pPr>
      <w:r>
        <w:rPr/>
        <w:t xml:space="preserve">Undertake a study to assess the impact and effectiveness of the current constitutional framework including the electoral system on efforts to improve inclusive participation in politics</w:t>
      </w:r>
      <w:r>
        <w:rPr/>
        <w:t xml:space="preserve"> </w:t>
      </w:r>
      <w:r>
        <w:rPr/>
        <w:t xml:space="preserve">and elections</w:t>
      </w:r>
      <w:r>
        <w:rPr/>
        <w:t xml:space="preserve">. </w:t>
      </w:r>
      <w:r>
        <w:rPr/>
        <w:t xml:space="preserve"> </w:t>
      </w:r>
    </w:p>
    <w:p>
      <w:pPr>
        <w:pStyle w:val="heading1"/>
        <w:spacing w:before="0" w:after="111" w:line="249" w:lineRule="auto"/>
        <w:ind w:left="-5" w:right="0"/>
      </w:pPr>
      <w:r>
        <w:rPr>
          <w:rFonts w:cs="Calibri" w:hAnsi="Calibri" w:eastAsia="Calibri" w:ascii="Calibri"/>
          <w:i w:val="1"/>
        </w:rPr>
        <w:t xml:space="preserve">Component 4: Support national peace infrastructure to mitigate and resolve election</w:t>
      </w:r>
      <w:r>
        <w:rPr>
          <w:rFonts w:cs="Calibri" w:hAnsi="Calibri" w:eastAsia="Calibri" w:ascii="Calibri"/>
          <w:i w:val="1"/>
        </w:rPr>
        <w:t xml:space="preserve">-</w:t>
      </w:r>
      <w:r>
        <w:rPr>
          <w:rFonts w:cs="Calibri" w:hAnsi="Calibri" w:eastAsia="Calibri" w:ascii="Calibri"/>
          <w:i w:val="1"/>
        </w:rPr>
        <w:t xml:space="preserve">related conflicts</w:t>
      </w:r>
      <w:r>
        <w:rPr>
          <w:rFonts w:cs="Calibri" w:hAnsi="Calibri" w:eastAsia="Calibri" w:ascii="Calibri"/>
          <w:i w:val="1"/>
        </w:rPr>
        <w:t xml:space="preserve"> </w:t>
      </w:r>
    </w:p>
    <w:p>
      <w:pPr>
        <w:pStyle w:val="normal"/>
        <w:spacing w:before="0" w:after="112" w:line="248" w:lineRule="auto"/>
        <w:ind w:left="-5" w:right="754"/>
      </w:pPr>
      <w:r>
        <w:rPr/>
        <w:t xml:space="preserve">Efforts to prevent</w:t>
      </w:r>
      <w:r>
        <w:rPr/>
        <w:t xml:space="preserve">,</w:t>
      </w:r>
      <w:r>
        <w:rPr/>
        <w:t xml:space="preserve"> </w:t>
      </w:r>
      <w:r>
        <w:rPr/>
        <w:t xml:space="preserve">manage</w:t>
      </w:r>
      <w:r>
        <w:rPr/>
        <w:t xml:space="preserve">,</w:t>
      </w:r>
      <w:r>
        <w:rPr/>
        <w:t xml:space="preserve"> </w:t>
      </w:r>
      <w:r>
        <w:rPr/>
        <w:t xml:space="preserve">and resolve conflicts including election</w:t>
      </w:r>
      <w:r>
        <w:rPr/>
        <w:t xml:space="preserve">-</w:t>
      </w:r>
      <w:r>
        <w:rPr/>
        <w:t xml:space="preserve">related conflicts and disputes</w:t>
      </w:r>
      <w:r>
        <w:rPr/>
        <w:t xml:space="preserve">,</w:t>
      </w:r>
      <w:r>
        <w:rPr/>
        <w:t xml:space="preserve"> </w:t>
      </w:r>
      <w:r>
        <w:rPr/>
        <w:t xml:space="preserve">are at the heart of fostering comprehensive and sustainable</w:t>
      </w:r>
      <w:r>
        <w:rPr/>
        <w:t xml:space="preserve"> </w:t>
      </w:r>
      <w:r>
        <w:rPr/>
        <w:t xml:space="preserve">peace,</w:t>
      </w:r>
      <w:r>
        <w:rPr/>
        <w:t xml:space="preserve"> </w:t>
      </w:r>
      <w:r>
        <w:rPr/>
        <w:t xml:space="preserve">democracy</w:t>
      </w:r>
      <w:r>
        <w:rPr/>
        <w:t xml:space="preserve"> </w:t>
      </w:r>
      <w:r>
        <w:rPr/>
        <w:t xml:space="preserve">and development</w:t>
      </w:r>
      <w:r>
        <w:rPr/>
        <w:t xml:space="preserve">.  </w:t>
      </w:r>
      <w:r>
        <w:rPr/>
        <w:t xml:space="preserve">Such efforts are more effective when based on multi</w:t>
      </w:r>
      <w:r>
        <w:rPr/>
        <w:t xml:space="preserve">-</w:t>
      </w:r>
      <w:r>
        <w:rPr/>
        <w:t xml:space="preserve">stakeholder and multi</w:t>
      </w:r>
      <w:r>
        <w:rPr/>
        <w:t xml:space="preserve">-</w:t>
      </w:r>
      <w:r>
        <w:rPr/>
        <w:t xml:space="preserve">faceted approaches and also</w:t>
      </w:r>
      <w:r>
        <w:rPr/>
        <w:t xml:space="preserve"> </w:t>
      </w:r>
      <w:r>
        <w:rPr/>
        <w:t xml:space="preserve">on both formal and informal institutions and processes including community</w:t>
      </w:r>
      <w:r>
        <w:rPr/>
        <w:t xml:space="preserve">-</w:t>
      </w:r>
      <w:r>
        <w:rPr/>
        <w:t xml:space="preserve">based, traditional institutions and also alternative dispute resolution systems.  Tanzania has created a national peace architecture which entails cooperation and synergy between the various formal institutions such as the Police, the EMBs, and Political</w:t>
      </w:r>
      <w:r>
        <w:rPr/>
        <w:t xml:space="preserve"> </w:t>
      </w:r>
      <w:r>
        <w:rPr/>
        <w:t xml:space="preserve">Parties, LGA’s and Civil Society, to prevent and manage conflict before it escalates. These mechanisms, although still in an embryonic phase, were</w:t>
      </w:r>
      <w:r>
        <w:rPr/>
        <w:t xml:space="preserve"> </w:t>
      </w:r>
      <w:r>
        <w:rPr/>
        <w:t xml:space="preserve">used in recent elections including by</w:t>
      </w:r>
      <w:r>
        <w:rPr/>
        <w:t xml:space="preserve">-</w:t>
      </w:r>
      <w:r>
        <w:rPr/>
        <w:t xml:space="preserve">elections to mitigate conflict and have been fairly effective,</w:t>
      </w:r>
      <w:r>
        <w:rPr/>
        <w:t xml:space="preserve"> </w:t>
      </w:r>
      <w:r>
        <w:rPr/>
        <w:t xml:space="preserve">although there is room for improvement</w:t>
      </w:r>
      <w:r>
        <w:rPr/>
        <w:t xml:space="preserve"> </w:t>
      </w:r>
      <w:r>
        <w:rPr/>
        <w:t xml:space="preserve">and advancement as the referendum draws closer</w:t>
      </w:r>
      <w:r>
        <w:rPr/>
        <w:t xml:space="preserve">.  </w:t>
      </w:r>
      <w:r>
        <w:rPr/>
        <w:t xml:space="preserve"> </w:t>
      </w:r>
    </w:p>
    <w:p>
      <w:pPr>
        <w:pStyle w:val="normal"/>
        <w:spacing w:before="0" w:after="112" w:line="248" w:lineRule="auto"/>
        <w:ind w:left="-5" w:right="754"/>
      </w:pPr>
      <w:r>
        <w:rPr/>
        <w:t xml:space="preserve">A</w:t>
      </w:r>
      <w:r>
        <w:rPr/>
        <w:t xml:space="preserve"> </w:t>
      </w:r>
      <w:r>
        <w:rPr/>
        <w:t xml:space="preserve">further element of the country’s peace infrastructure which specifically relates to electoral disputes is</w:t>
      </w:r>
      <w:r>
        <w:rPr/>
        <w:t xml:space="preserve"> </w:t>
      </w:r>
      <w:r>
        <w:rPr/>
        <w:t xml:space="preserve">the formal courts in their adjudicative</w:t>
      </w:r>
      <w:r>
        <w:rPr/>
        <w:t xml:space="preserve"> </w:t>
      </w:r>
      <w:r>
        <w:rPr/>
        <w:t xml:space="preserve">role over electoral complaints.  There is a general need to foster training and better synergy among the various institutions which form part of the country’s peace infrastructure thereby sharpening their skills and collaborative capacity to guarantee effective mitigation of conflict and resolution of disputes.</w:t>
      </w:r>
      <w:r>
        <w:rPr/>
        <w:t xml:space="preserve"> </w:t>
      </w:r>
      <w:r>
        <w:rPr/>
        <w:t xml:space="preserve">The peace building, community dialogue and conflict prevention efforts in Zanzibar by the Election</w:t>
      </w:r>
      <w:r>
        <w:rPr/>
        <w:t xml:space="preserve"> </w:t>
      </w:r>
      <w:r>
        <w:rPr/>
        <w:t xml:space="preserve">Support Project</w:t>
      </w:r>
      <w:r>
        <w:rPr/>
        <w:t xml:space="preserve"> </w:t>
      </w:r>
      <w:r>
        <w:rPr/>
        <w:t xml:space="preserve">in 2009</w:t>
      </w:r>
      <w:r>
        <w:rPr/>
        <w:t xml:space="preserve">-</w:t>
      </w:r>
      <w:r>
        <w:rPr/>
        <w:t xml:space="preserve">2011 and others provide sound experience for lessons learnt</w:t>
      </w:r>
      <w:r>
        <w:rPr/>
        <w:t xml:space="preserve"> </w:t>
      </w:r>
      <w:r>
        <w:rPr/>
        <w:t xml:space="preserve">and aiming for sustainability.</w:t>
      </w:r>
      <w:r>
        <w:rPr/>
        <w:t xml:space="preserve"> </w:t>
      </w:r>
    </w:p>
    <w:p>
      <w:pPr>
        <w:spacing w:before="0" w:after="109" w:line="249" w:lineRule="auto"/>
        <w:ind w:left="-5" w:right="0"/>
        <w:jc w:val="left"/>
      </w:pPr>
      <w:r>
        <w:rPr>
          <w:u w:val="single" w:color="000000"/>
        </w:rPr>
        <w:t xml:space="preserve">Output 1</w:t>
      </w:r>
      <w:r>
        <w:rPr/>
        <w:t xml:space="preserve">: </w:t>
      </w:r>
      <w:r>
        <w:rPr>
          <w:rFonts w:cs="Calibri" w:hAnsi="Calibri" w:eastAsia="Calibri" w:ascii="Calibri"/>
          <w:i w:val="1"/>
        </w:rPr>
        <w:t xml:space="preserve">Election security and integrity enhanced through the strengthening of the national peace infrastructure</w:t>
      </w:r>
      <w:r>
        <w:rPr/>
        <w:t xml:space="preserve"> </w:t>
      </w:r>
    </w:p>
    <w:p>
      <w:pPr>
        <w:pStyle w:val="normal"/>
        <w:spacing w:before="0" w:after="101" w:line="248" w:lineRule="auto"/>
        <w:ind w:left="-5" w:right="754"/>
      </w:pPr>
      <w:r>
        <w:rPr/>
        <w:t xml:space="preserve">This output will require DEP support to improve the Police rapid response management and conflict mapping capabilities and better inter</w:t>
      </w:r>
      <w:r>
        <w:rPr/>
        <w:t xml:space="preserve">-</w:t>
      </w:r>
      <w:r>
        <w:rPr/>
        <w:t xml:space="preserve">stakeholder cooperation and dialogue </w:t>
      </w:r>
      <w:r>
        <w:rPr/>
        <w:t xml:space="preserve"> </w:t>
      </w:r>
      <w:r>
        <w:rPr>
          <w:u w:val="single" w:color="000000"/>
        </w:rPr>
        <w:t xml:space="preserve">Activities</w:t>
      </w:r>
      <w:r>
        <w:rPr/>
        <w:t xml:space="preserve">:</w:t>
      </w:r>
      <w:r>
        <w:rPr/>
        <w:t xml:space="preserve"> </w:t>
      </w:r>
    </w:p>
    <w:p>
      <w:pPr>
        <w:spacing w:before="0" w:after="132" w:line="259" w:lineRule="auto"/>
        <w:ind w:left="0" w:right="0" w:firstLine="0"/>
        <w:jc w:val="left"/>
      </w:pPr>
      <w:r>
        <w:rPr/>
        <w:t xml:space="preserve"> </w:t>
      </w:r>
    </w:p>
    <w:p>
      <w:pPr>
        <w:pStyle w:val="normal"/>
        <w:numPr>
          <w:ilvl w:val="0"/>
          <w:numId w:val="14"/>
        </w:numPr>
        <w:spacing w:before="0" w:after="146" w:line="248" w:lineRule="auto"/>
        <w:ind w:left="1080" w:right="754" w:hanging="360"/>
      </w:pPr>
      <w:r>
        <w:rPr/>
        <w:t xml:space="preserve">Provide technical assistance in support of the National Police to procure</w:t>
      </w:r>
      <w:r>
        <w:rPr/>
        <w:t xml:space="preserve"> </w:t>
      </w:r>
      <w:r>
        <w:rPr/>
        <w:t xml:space="preserve">outstanding</w:t>
      </w:r>
      <w:r>
        <w:rPr/>
        <w:t xml:space="preserve"> </w:t>
      </w:r>
      <w:r>
        <w:rPr/>
        <w:t xml:space="preserve">equipment for rapid response management and conflict risk analysis</w:t>
      </w:r>
      <w:r>
        <w:rPr/>
        <w:t xml:space="preserve"> </w:t>
      </w:r>
    </w:p>
    <w:p>
      <w:pPr>
        <w:pStyle w:val="normal"/>
        <w:numPr>
          <w:ilvl w:val="0"/>
          <w:numId w:val="14"/>
        </w:numPr>
        <w:spacing w:before="0" w:after="146" w:line="248" w:lineRule="auto"/>
        <w:ind w:left="1080" w:right="754" w:hanging="360"/>
      </w:pPr>
      <w:r>
        <w:rPr/>
        <w:t xml:space="preserve">Facilitate inter</w:t>
      </w:r>
      <w:r>
        <w:rPr/>
        <w:t xml:space="preserve">-</w:t>
      </w:r>
      <w:r>
        <w:rPr/>
        <w:t xml:space="preserve">stakeholder (CSOs, TCD and political parties) dialogue to improve the democratic environment and build a culture of peace</w:t>
      </w:r>
      <w:r>
        <w:rPr/>
        <w:t xml:space="preserve"> </w:t>
      </w:r>
    </w:p>
    <w:p>
      <w:pPr>
        <w:pStyle w:val="normal"/>
        <w:numPr>
          <w:ilvl w:val="0"/>
          <w:numId w:val="14"/>
        </w:numPr>
        <w:spacing w:before="0" w:after="142" w:line="248" w:lineRule="auto"/>
        <w:ind w:left="1080" w:right="754" w:hanging="360"/>
      </w:pPr>
      <w:r>
        <w:rPr/>
        <w:t xml:space="preserve">Provide human rights and gender awareness training for the Police</w:t>
      </w:r>
      <w:r>
        <w:rPr/>
        <w:t xml:space="preserve"> </w:t>
      </w:r>
    </w:p>
    <w:p>
      <w:pPr>
        <w:pStyle w:val="normal"/>
        <w:numPr>
          <w:ilvl w:val="0"/>
          <w:numId w:val="14"/>
        </w:numPr>
        <w:spacing w:before="0" w:after="3" w:line="248" w:lineRule="auto"/>
        <w:ind w:left="1080" w:right="754" w:hanging="360"/>
      </w:pPr>
      <w:r>
        <w:rPr/>
        <w:t xml:space="preserve">Promote election</w:t>
      </w:r>
      <w:r>
        <w:rPr/>
        <w:t xml:space="preserve">-</w:t>
      </w:r>
      <w:r>
        <w:rPr/>
        <w:t xml:space="preserve">period </w:t>
      </w:r>
      <w:r>
        <w:rPr/>
        <w:t xml:space="preserve">“</w:t>
      </w:r>
      <w:r>
        <w:rPr/>
        <w:t xml:space="preserve">confidence</w:t>
      </w:r>
      <w:r>
        <w:rPr/>
        <w:t xml:space="preserve">-</w:t>
      </w:r>
      <w:r>
        <w:rPr/>
        <w:t xml:space="preserve">building dialogue</w:t>
      </w:r>
      <w:r>
        <w:rPr/>
        <w:t xml:space="preserve">” </w:t>
      </w:r>
      <w:r>
        <w:rPr/>
        <w:t xml:space="preserve">between the EMBs on one hand and political parties and CSOs on the other</w:t>
      </w:r>
      <w:r>
        <w:rPr/>
        <w:t xml:space="preserve"> </w:t>
      </w:r>
    </w:p>
    <w:p>
      <w:pPr>
        <w:pStyle w:val="normal"/>
        <w:numPr>
          <w:ilvl w:val="0"/>
          <w:numId w:val="14"/>
        </w:numPr>
        <w:spacing w:before="0" w:after="3" w:line="248" w:lineRule="auto"/>
        <w:ind w:left="1080" w:right="754" w:hanging="360"/>
      </w:pPr>
      <w:r>
        <w:rPr/>
        <w:t xml:space="preserve">Provide technical assistance to advice</w:t>
      </w:r>
      <w:r>
        <w:rPr/>
        <w:t xml:space="preserve"> </w:t>
      </w:r>
      <w:r>
        <w:rPr/>
        <w:t xml:space="preserve">on conflict prevention and conflict transformation approaches</w:t>
      </w:r>
      <w:r>
        <w:rPr/>
        <w:t xml:space="preserve">. </w:t>
      </w:r>
      <w:r>
        <w:rPr/>
        <w:t xml:space="preserve"> </w:t>
      </w:r>
    </w:p>
    <w:p>
      <w:pPr>
        <w:spacing w:before="0" w:after="218" w:line="259" w:lineRule="auto"/>
        <w:ind w:left="0" w:right="0" w:firstLine="0"/>
        <w:jc w:val="left"/>
      </w:pPr>
      <w:r>
        <w:rPr/>
        <w:t xml:space="preserve"> </w:t>
      </w:r>
    </w:p>
    <w:p>
      <w:pPr>
        <w:spacing w:before="0" w:after="376" w:line="259" w:lineRule="auto"/>
        <w:ind w:left="0" w:right="0" w:firstLine="0"/>
        <w:jc w:val="left"/>
      </w:pPr>
      <w:r>
        <w:rPr/>
        <w:t xml:space="preserve"> </w:t>
      </w:r>
    </w:p>
    <w:p>
      <w:pPr>
        <w:pStyle w:val="heading1"/>
        <w:spacing w:before="0" w:after="38" w:line="259" w:lineRule="auto"/>
        <w:ind w:left="-4" w:right="0"/>
      </w:pPr>
      <w:r>
        <w:rPr/>
        <w:t xml:space="preserve">E.</w:t>
      </w:r>
      <w:r>
        <w:rPr/>
        <w:t xml:space="preserve"> </w:t>
      </w:r>
      <w:r>
        <w:rPr/>
        <w:t xml:space="preserve">RISK MANAGEMENT MEASURES</w:t>
      </w:r>
      <w:r>
        <w:rPr/>
        <w:t xml:space="preserve"> </w:t>
      </w:r>
    </w:p>
    <w:p>
      <w:pPr>
        <w:spacing w:before="0" w:after="0" w:line="259" w:lineRule="auto"/>
        <w:ind w:left="0" w:right="0" w:firstLine="0"/>
        <w:jc w:val="left"/>
      </w:pPr>
      <w:r>
        <w:rPr/>
        <w:t xml:space="preserve"> </w:t>
      </w:r>
    </w:p>
    <w:tbl>
      <w:tblPr>
        <w:tblStyle w:val="TableGrid"/>
        <w:tblW w:w="10529" w:type="dxa"/>
        <w:tblInd w:w="-750" w:type="dxa"/>
        <w:tblCellMar>
          <w:top w:w="44" w:type="dxa"/>
          <w:left w:w="107" w:type="dxa"/>
          <w:bottom w:w="8" w:type="dxa"/>
          <w:right w:w="8" w:type="dxa"/>
        </w:tblCellMar>
      </w:tblPr>
      <w:tblGrid>
        <w:gridCol w:w="5585"/>
        <w:gridCol w:w="4944"/>
      </w:tblGrid>
      <w:tr>
        <w:trPr>
          <w:trHeight w:val="545" w:hRule="atLeast"/>
        </w:trPr>
        <w:tc>
          <w:tcPr>
            <w:tcW w:w="5585" w:type="dxa"/>
            <w:tcBorders>
              <w:top w:val="single" w:sz="4" w:color="000000"/>
              <w:left w:val="single" w:sz="4" w:color="000000"/>
              <w:bottom w:val="single" w:sz="4" w:color="000000"/>
              <w:right w:val="single" w:sz="4" w:color="000000"/>
            </w:tcBorders>
            <w:shd w:val="clear" w:fill="cccccc"/>
            <w:vAlign w:val="center"/>
          </w:tcPr>
          <w:p>
            <w:pPr>
              <w:spacing w:before="0" w:after="0" w:line="259" w:lineRule="auto"/>
              <w:ind w:left="336" w:right="0" w:firstLine="0"/>
              <w:jc w:val="left"/>
            </w:pPr>
            <w:r>
              <w:rPr/>
              <w:t xml:space="preserve">Risk</w:t>
            </w:r>
            <w:r>
              <w:rPr/>
              <w:t xml:space="preserve"> </w:t>
            </w:r>
          </w:p>
        </w:tc>
        <w:tc>
          <w:tcPr>
            <w:tcW w:w="4944" w:type="dxa"/>
            <w:tcBorders>
              <w:top w:val="single" w:sz="4" w:color="000000"/>
              <w:left w:val="single" w:sz="4" w:color="000000"/>
              <w:bottom w:val="single" w:sz="4" w:color="000000"/>
              <w:right w:val="single" w:sz="4" w:color="000000"/>
            </w:tcBorders>
            <w:shd w:val="clear" w:fill="cccccc"/>
            <w:vAlign w:val="top"/>
          </w:tcPr>
          <w:p>
            <w:pPr>
              <w:spacing w:before="0" w:after="0" w:line="259" w:lineRule="auto"/>
              <w:ind w:left="337" w:right="0" w:firstLine="0"/>
              <w:jc w:val="left"/>
            </w:pPr>
            <w:r>
              <w:rPr/>
              <w:t xml:space="preserve">Risk Management Measures</w:t>
            </w:r>
            <w:r>
              <w:rPr/>
              <w:t xml:space="preserve"> </w:t>
            </w:r>
          </w:p>
        </w:tc>
      </w:tr>
      <w:tr>
        <w:trPr>
          <w:trHeight w:val="604" w:hRule="atLeast"/>
        </w:trPr>
        <w:tc>
          <w:tcPr>
            <w:tcW w:w="5585" w:type="dxa"/>
            <w:tcBorders>
              <w:top w:val="single" w:sz="4" w:color="000000"/>
              <w:left w:val="single" w:sz="4" w:color="000000"/>
              <w:bottom w:val="single" w:sz="4" w:color="000000"/>
              <w:right w:val="nil"/>
            </w:tcBorders>
            <w:vAlign w:val="center"/>
          </w:tcPr>
          <w:p>
            <w:pPr>
              <w:spacing w:before="0" w:after="0" w:line="259" w:lineRule="auto"/>
              <w:ind w:left="360" w:right="0" w:firstLine="0"/>
              <w:jc w:val="left"/>
            </w:pPr>
            <w:r>
              <w:rPr>
                <w:rFonts w:cs="Calibri" w:hAnsi="Calibri" w:eastAsia="Calibri" w:ascii="Calibri"/>
                <w:b w:val="1"/>
              </w:rPr>
              <w:t xml:space="preserve">a.</w:t>
            </w:r>
            <w:r>
              <w:rPr>
                <w:rFonts w:cs="Arial" w:hAnsi="Arial" w:eastAsia="Arial" w:ascii="Arial"/>
                <w:b w:val="1"/>
              </w:rPr>
              <w:t xml:space="preserve"> </w:t>
            </w:r>
            <w:r>
              <w:rPr/>
              <w:t xml:space="preserve">Constitutional, Political and Security risks:</w:t>
            </w:r>
            <w:r>
              <w:rPr>
                <w:rFonts w:cs="Calibri" w:hAnsi="Calibri" w:eastAsia="Calibri" w:ascii="Calibri"/>
                <w:b w:val="1"/>
              </w:rPr>
              <w:t xml:space="preserve"> </w:t>
            </w:r>
          </w:p>
        </w:tc>
        <w:tc>
          <w:tcPr>
            <w:tcW w:w="4944" w:type="dxa"/>
            <w:tcBorders>
              <w:top w:val="single" w:sz="4" w:color="000000"/>
              <w:left w:val="nil"/>
              <w:bottom w:val="single" w:sz="4" w:color="000000"/>
              <w:right w:val="single" w:sz="4" w:color="000000"/>
            </w:tcBorders>
            <w:vAlign w:val="center"/>
          </w:tcPr>
          <w:p>
            <w:pPr>
              <w:bidi w:val="0"/>
              <w:spacing w:before="0" w:after="160" w:line="259" w:lineRule="auto"/>
              <w:ind w:left="0" w:right="0" w:firstLine="0"/>
              <w:jc w:val="left"/>
            </w:pPr>
          </w:p>
        </w:tc>
      </w:tr>
      <w:tr>
        <w:trPr>
          <w:trHeight w:val="1982" w:hRule="atLeast"/>
        </w:trPr>
        <w:tc>
          <w:tcPr>
            <w:tcW w:w="5585" w:type="dxa"/>
            <w:tcBorders>
              <w:top w:val="single" w:sz="4" w:color="000000"/>
              <w:left w:val="single" w:sz="4" w:color="000000"/>
              <w:bottom w:val="single" w:sz="4" w:color="000000"/>
              <w:right w:val="single" w:sz="4" w:color="000000"/>
            </w:tcBorders>
            <w:vAlign w:val="center"/>
          </w:tcPr>
          <w:p>
            <w:pPr>
              <w:spacing w:before="0" w:after="154" w:line="239" w:lineRule="auto"/>
              <w:ind w:left="0" w:right="0" w:firstLine="0"/>
              <w:jc w:val="left"/>
            </w:pPr>
            <w:r>
              <w:rPr>
                <w:u w:val="single" w:color="000000"/>
              </w:rPr>
              <w:t xml:space="preserve">Uncertainties 	relating 	to 	the 	Constitutional 	Review</w:t>
            </w:r>
            <w:r>
              <w:rPr/>
              <w:t xml:space="preserve"> </w:t>
            </w:r>
            <w:r>
              <w:rPr>
                <w:u w:val="single" w:color="000000"/>
              </w:rPr>
              <w:t xml:space="preserve">Processes:</w:t>
            </w:r>
            <w:r>
              <w:rPr/>
              <w:t xml:space="preserve"> </w:t>
            </w:r>
          </w:p>
          <w:p>
            <w:pPr>
              <w:spacing w:before="0" w:after="0" w:line="259" w:lineRule="auto"/>
              <w:ind w:left="1080" w:right="100" w:hanging="720"/>
            </w:pPr>
            <w:r>
              <w:rPr/>
              <w:t xml:space="preserve">i.</w:t>
            </w:r>
            <w:r>
              <w:rPr>
                <w:rFonts w:cs="Arial" w:hAnsi="Arial" w:eastAsia="Arial" w:ascii="Arial"/>
              </w:rPr>
              <w:t xml:space="preserve"> </w:t>
            </w:r>
            <w:r>
              <w:rPr/>
              <w:t xml:space="preserve">The</w:t>
            </w:r>
            <w:r>
              <w:rPr/>
              <w:t xml:space="preserve"> </w:t>
            </w:r>
            <w:r>
              <w:rPr/>
              <w:t xml:space="preserve">on</w:t>
            </w:r>
            <w:r>
              <w:rPr/>
              <w:t xml:space="preserve">-</w:t>
            </w:r>
            <w:r>
              <w:rPr/>
              <w:t xml:space="preserve">going</w:t>
            </w:r>
            <w:r>
              <w:rPr/>
              <w:t xml:space="preserve"> </w:t>
            </w:r>
            <w:r>
              <w:rPr/>
              <w:t xml:space="preserve">Constitution Review (RC) process may not adhere to the time lines, i.e. to be completed by April 2014 and this may delay future elections.</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 w:right="98" w:firstLine="0"/>
            </w:pPr>
            <w:r>
              <w:rPr/>
              <w:t xml:space="preserve">DEP will request regular updates on CR process from relevant PSC Members so as to take appropriate corrective measures</w:t>
            </w:r>
            <w:r>
              <w:rPr/>
              <w:t xml:space="preserve"> </w:t>
            </w:r>
            <w:r>
              <w:rPr/>
              <w:t xml:space="preserve">when and where necessary.</w:t>
            </w:r>
            <w:r>
              <w:rPr/>
              <w:t xml:space="preserve"> </w:t>
            </w:r>
            <w:r>
              <w:rPr/>
              <w:t xml:space="preserve">Although this risk</w:t>
            </w:r>
            <w:r>
              <w:rPr/>
              <w:t xml:space="preserve"> </w:t>
            </w:r>
            <w:r>
              <w:rPr/>
              <w:t xml:space="preserve">is high impact, it is low probability at this juncture; however, it requires constant monitoring.</w:t>
            </w:r>
            <w:r>
              <w:rPr/>
              <w:t xml:space="preserve"> </w:t>
            </w:r>
          </w:p>
        </w:tc>
      </w:tr>
      <w:tr>
        <w:trPr>
          <w:trHeight w:val="2398" w:hRule="atLeast"/>
        </w:trPr>
        <w:tc>
          <w:tcPr>
            <w:tcW w:w="5585" w:type="dxa"/>
            <w:tcBorders>
              <w:top w:val="single" w:sz="4" w:color="000000"/>
              <w:left w:val="single" w:sz="4" w:color="000000"/>
              <w:bottom w:val="single" w:sz="4" w:color="000000"/>
              <w:right w:val="single" w:sz="4" w:color="000000"/>
            </w:tcBorders>
            <w:vAlign w:val="center"/>
          </w:tcPr>
          <w:p>
            <w:pPr>
              <w:spacing w:before="0" w:after="0" w:line="259" w:lineRule="auto"/>
              <w:ind w:left="1080" w:right="99" w:hanging="720"/>
            </w:pPr>
            <w:r>
              <w:rPr/>
              <w:t xml:space="preserve">ii.</w:t>
            </w:r>
            <w:r>
              <w:rPr>
                <w:rFonts w:cs="Arial" w:hAnsi="Arial" w:eastAsia="Arial" w:ascii="Arial"/>
              </w:rPr>
              <w:t xml:space="preserve"> </w:t>
            </w:r>
            <w:r>
              <w:rPr/>
              <w:t xml:space="preserve">The</w:t>
            </w:r>
            <w:r>
              <w:rPr/>
              <w:t xml:space="preserve"> </w:t>
            </w:r>
            <w:r>
              <w:rPr/>
              <w:t xml:space="preserve">proposed constitution may not obtain the required support of more than 50% “yes” vote in both Mainland and Zanzibar, and this could precipitate a crisis. </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 w:right="97" w:firstLine="0"/>
            </w:pPr>
            <w:r>
              <w:rPr/>
              <w:t xml:space="preserve">This risk is both high impact and</w:t>
            </w:r>
            <w:r>
              <w:rPr/>
              <w:t xml:space="preserve"> </w:t>
            </w:r>
            <w:r>
              <w:rPr/>
              <w:t xml:space="preserve">high probability</w:t>
            </w:r>
            <w:r>
              <w:rPr/>
              <w:t xml:space="preserve">; </w:t>
            </w:r>
            <w:r>
              <w:rPr/>
              <w:t xml:space="preserve">however it is unclear at this juncture how this process review will unfold.  DEP PSC and the RCO will take the lead in encouraging dialogue among</w:t>
            </w:r>
            <w:r>
              <w:rPr/>
              <w:t xml:space="preserve"> </w:t>
            </w:r>
            <w:r>
              <w:rPr/>
              <w:t xml:space="preserve">national stakeholders</w:t>
            </w:r>
            <w:r>
              <w:rPr/>
              <w:t xml:space="preserve"> </w:t>
            </w:r>
            <w:r>
              <w:rPr/>
              <w:t xml:space="preserve">on the</w:t>
            </w:r>
            <w:r>
              <w:rPr/>
              <w:t xml:space="preserve"> </w:t>
            </w:r>
            <w:r>
              <w:rPr/>
              <w:t xml:space="preserve">possibility of this outcome</w:t>
            </w:r>
            <w:r>
              <w:rPr/>
              <w:t xml:space="preserve"> </w:t>
            </w:r>
            <w:r>
              <w:rPr/>
              <w:t xml:space="preserve">and to find a way to resolve any impasse that may arise out of a rejection of the new constitution by any part of the Union</w:t>
            </w:r>
            <w:r>
              <w:rPr/>
              <w:t xml:space="preserve">. </w:t>
            </w:r>
            <w:r>
              <w:rPr/>
              <w:t xml:space="preserve"> </w:t>
            </w:r>
          </w:p>
        </w:tc>
      </w:tr>
      <w:tr>
        <w:trPr>
          <w:trHeight w:val="3205" w:hRule="atLeast"/>
        </w:trPr>
        <w:tc>
          <w:tcPr>
            <w:tcW w:w="5585" w:type="dxa"/>
            <w:tcBorders>
              <w:top w:val="single" w:sz="4" w:color="000000"/>
              <w:left w:val="single" w:sz="4" w:color="000000"/>
              <w:bottom w:val="single" w:sz="4" w:color="000000"/>
              <w:right w:val="single" w:sz="4" w:color="000000"/>
            </w:tcBorders>
            <w:vAlign w:val="center"/>
          </w:tcPr>
          <w:p>
            <w:pPr>
              <w:spacing w:before="0" w:after="0" w:line="259" w:lineRule="auto"/>
              <w:ind w:left="1080" w:right="99" w:hanging="720"/>
            </w:pPr>
            <w:r>
              <w:rPr/>
              <w:t xml:space="preserve">iii.</w:t>
            </w:r>
            <w:r>
              <w:rPr>
                <w:rFonts w:cs="Arial" w:hAnsi="Arial" w:eastAsia="Arial" w:ascii="Arial"/>
              </w:rPr>
              <w:t xml:space="preserve"> </w:t>
            </w:r>
            <w:r>
              <w:rPr/>
              <w:t xml:space="preserve">The country’s political leadership</w:t>
            </w:r>
            <w:r>
              <w:rPr/>
              <w:t xml:space="preserve"> </w:t>
            </w:r>
            <w:r>
              <w:rPr/>
              <w:t xml:space="preserve">may</w:t>
            </w:r>
            <w:r>
              <w:rPr/>
              <w:t xml:space="preserve"> </w:t>
            </w:r>
            <w:r>
              <w:rPr/>
              <w:t xml:space="preserve">not be ready to introduce necessary</w:t>
            </w:r>
            <w:r>
              <w:rPr/>
              <w:t xml:space="preserve"> </w:t>
            </w:r>
            <w:r>
              <w:rPr/>
              <w:t xml:space="preserve">reforms</w:t>
            </w:r>
            <w:r>
              <w:rPr/>
              <w:t xml:space="preserve"> </w:t>
            </w:r>
            <w:r>
              <w:rPr/>
              <w:t xml:space="preserve">to the NEC</w:t>
            </w:r>
            <w:r>
              <w:rPr/>
              <w:t xml:space="preserve"> </w:t>
            </w:r>
            <w:r>
              <w:rPr/>
              <w:t xml:space="preserve">structure including those relating to its independence and funding. The current CR may only</w:t>
            </w:r>
            <w:r>
              <w:rPr/>
              <w:t xml:space="preserve"> </w:t>
            </w:r>
            <w:r>
              <w:rPr/>
              <w:t xml:space="preserve">introduce cosmetic changes which may not inspire public confidence in the EMB. Secondly, sweeping changes, although desirable to most holders, may </w:t>
            </w:r>
            <w:r>
              <w:rPr/>
              <w:t xml:space="preserve">(</w:t>
            </w:r>
            <w:r>
              <w:rPr/>
              <w:t xml:space="preserve">because of time constraints) compromise the EMB to deliver on the 2013 voter registration and the 2014 referendum.</w:t>
            </w:r>
            <w:r>
              <w:rPr/>
              <w:t xml:space="preserve"> </w:t>
            </w:r>
          </w:p>
        </w:tc>
        <w:tc>
          <w:tcPr>
            <w:tcW w:w="4944" w:type="dxa"/>
            <w:tcBorders>
              <w:top w:val="single" w:sz="4" w:color="000000"/>
              <w:left w:val="single" w:sz="4" w:color="000000"/>
              <w:bottom w:val="single" w:sz="4" w:color="000000"/>
              <w:right w:val="single" w:sz="4" w:color="000000"/>
            </w:tcBorders>
            <w:vAlign w:val="top"/>
          </w:tcPr>
          <w:p>
            <w:pPr>
              <w:spacing w:before="0" w:after="0" w:line="259" w:lineRule="auto"/>
              <w:ind w:left="1" w:right="96" w:firstLine="0"/>
            </w:pPr>
            <w:r>
              <w:rPr/>
              <w:t xml:space="preserve">NEC must engage closely with the CR process in order to ensure that a mechanism is in place t</w:t>
            </w:r>
            <w:r>
              <w:rPr/>
              <w:t xml:space="preserve">o </w:t>
            </w:r>
            <w:r>
              <w:rPr/>
              <w:t xml:space="preserve">deliver forthcoming electoral assignments</w:t>
            </w:r>
            <w:r>
              <w:rPr/>
              <w:t xml:space="preserve"> </w:t>
            </w:r>
            <w:r>
              <w:rPr/>
              <w:t xml:space="preserve">in parallel with any reform agenda. The PSC should keep a</w:t>
            </w:r>
            <w:r>
              <w:rPr/>
              <w:t xml:space="preserve"> </w:t>
            </w:r>
            <w:r>
              <w:rPr/>
              <w:t xml:space="preserve">close eye on the process and where appropriate make resources available to</w:t>
            </w:r>
            <w:r>
              <w:rPr/>
              <w:t xml:space="preserve"> </w:t>
            </w:r>
            <w:r>
              <w:rPr/>
              <w:t xml:space="preserve">boost the EMB’s capacity to deliver the election. </w:t>
            </w:r>
            <w:r>
              <w:rPr/>
              <w:t xml:space="preserve">  </w:t>
            </w:r>
          </w:p>
        </w:tc>
      </w:tr>
      <w:tr>
        <w:trPr>
          <w:trHeight w:val="2547" w:hRule="atLeast"/>
        </w:trPr>
        <w:tc>
          <w:tcPr>
            <w:tcW w:w="5585" w:type="dxa"/>
            <w:tcBorders>
              <w:top w:val="single" w:sz="4" w:color="000000"/>
              <w:left w:val="single" w:sz="4" w:color="000000"/>
              <w:bottom w:val="single" w:sz="4" w:color="000000"/>
              <w:right w:val="single" w:sz="4" w:color="000000"/>
            </w:tcBorders>
            <w:vAlign w:val="center"/>
          </w:tcPr>
          <w:p>
            <w:pPr>
              <w:spacing w:before="0" w:after="0" w:line="259" w:lineRule="auto"/>
              <w:ind w:left="1080" w:right="0" w:hanging="720"/>
              <w:jc w:val="left"/>
            </w:pPr>
            <w:r>
              <w:rPr/>
              <w:t xml:space="preserve">iv.</w:t>
            </w:r>
            <w:r>
              <w:rPr>
                <w:rFonts w:cs="Arial" w:hAnsi="Arial" w:eastAsia="Arial" w:ascii="Arial"/>
              </w:rPr>
              <w:t xml:space="preserve"> </w:t>
            </w:r>
            <w:r>
              <w:rPr/>
              <w:t xml:space="preserve">Violence which affected some</w:t>
            </w:r>
            <w:r>
              <w:rPr/>
              <w:t xml:space="preserve"> </w:t>
            </w:r>
            <w:r>
              <w:rPr/>
              <w:t xml:space="preserve">by</w:t>
            </w:r>
            <w:r>
              <w:rPr/>
              <w:t xml:space="preserve">-</w:t>
            </w:r>
            <w:r>
              <w:rPr/>
              <w:t xml:space="preserve">elections recently may escalate during the referendum and beyond.  </w:t>
            </w:r>
            <w:r>
              <w:rPr/>
              <w:t xml:space="preserve"> </w:t>
            </w:r>
          </w:p>
        </w:tc>
        <w:tc>
          <w:tcPr>
            <w:tcW w:w="4944" w:type="dxa"/>
            <w:tcBorders>
              <w:top w:val="single" w:sz="4" w:color="000000"/>
              <w:left w:val="single" w:sz="4" w:color="000000"/>
              <w:bottom w:val="single" w:sz="4" w:color="000000"/>
              <w:right w:val="single" w:sz="4" w:color="000000"/>
            </w:tcBorders>
            <w:vAlign w:val="bottom"/>
          </w:tcPr>
          <w:p>
            <w:pPr>
              <w:spacing w:before="0" w:after="0" w:line="259" w:lineRule="auto"/>
              <w:ind w:left="1" w:right="96" w:firstLine="0"/>
            </w:pPr>
            <w:r>
              <w:rPr/>
              <w:t xml:space="preserve">This is not a high impact risk given the peaceful history of elections in Tanzania</w:t>
            </w:r>
            <w:r>
              <w:rPr/>
              <w:t xml:space="preserve">, </w:t>
            </w:r>
            <w:r>
              <w:rPr/>
              <w:t xml:space="preserve">except Zanzibar.  Nevertheless, building a culture of peace and tolerance is one area the DEP should seek to address. The PSC could provide further guidance to how the project could mainstream conflict transformation in it is programmatic focus given the need for the project to make swift responses to pressing issues as they arise.</w:t>
            </w:r>
            <w:r>
              <w:rPr/>
              <w:t xml:space="preserve"> </w:t>
            </w:r>
            <w:r>
              <w:rPr/>
              <w:t xml:space="preserve">Building on past efforts </w:t>
            </w:r>
          </w:p>
        </w:tc>
      </w:tr>
    </w:tbl>
    <w:p>
      <w:pPr>
        <w:spacing w:before="0" w:after="0" w:line="259" w:lineRule="auto"/>
        <w:ind w:left="-1440" w:right="14" w:firstLine="0"/>
        <w:jc w:val="left"/>
      </w:pPr>
    </w:p>
    <w:tbl>
      <w:tblPr>
        <w:tblStyle w:val="TableGrid"/>
        <w:tblW w:w="10529" w:type="dxa"/>
        <w:tblInd w:w="-750" w:type="dxa"/>
        <w:tblCellMar>
          <w:top w:w="45" w:type="dxa"/>
          <w:left w:w="0" w:type="dxa"/>
          <w:bottom w:w="81" w:type="dxa"/>
          <w:right w:w="11" w:type="dxa"/>
        </w:tblCellMar>
      </w:tblPr>
      <w:tblGrid>
        <w:gridCol w:w="827"/>
        <w:gridCol w:w="4758"/>
        <w:gridCol w:w="4944"/>
      </w:tblGrid>
      <w:tr>
        <w:trPr>
          <w:trHeight w:val="545" w:hRule="atLeast"/>
        </w:trPr>
        <w:tc>
          <w:tcPr>
            <w:tcW w:w="5585" w:type="dxa"/>
            <w:gridSpan w:val="2"/>
            <w:tcBorders>
              <w:top w:val="single" w:sz="4" w:color="000000"/>
              <w:left w:val="single" w:sz="4" w:color="000000"/>
              <w:bottom w:val="single" w:sz="4" w:color="000000"/>
              <w:right w:val="single" w:sz="4" w:color="000000"/>
            </w:tcBorders>
            <w:shd w:val="clear" w:fill="cccccc"/>
            <w:vAlign w:val="center"/>
          </w:tcPr>
          <w:p>
            <w:pPr>
              <w:spacing w:before="0" w:after="0" w:line="259" w:lineRule="auto"/>
              <w:ind w:left="443" w:right="0" w:firstLine="0"/>
              <w:jc w:val="left"/>
            </w:pPr>
            <w:r>
              <w:rPr/>
              <w:t xml:space="preserve">Risk</w:t>
            </w:r>
            <w:r>
              <w:rPr/>
              <w:t xml:space="preserve"> </w:t>
            </w:r>
          </w:p>
        </w:tc>
        <w:tc>
          <w:tcPr>
            <w:tcW w:w="4944" w:type="dxa"/>
            <w:tcBorders>
              <w:top w:val="single" w:sz="4" w:color="000000"/>
              <w:left w:val="single" w:sz="4" w:color="000000"/>
              <w:bottom w:val="single" w:sz="4" w:color="000000"/>
              <w:right w:val="single" w:sz="4" w:color="000000"/>
            </w:tcBorders>
            <w:shd w:val="clear" w:fill="cccccc"/>
            <w:vAlign w:val="top"/>
          </w:tcPr>
          <w:p>
            <w:pPr>
              <w:spacing w:before="0" w:after="0" w:line="259" w:lineRule="auto"/>
              <w:ind w:left="444" w:right="0" w:firstLine="0"/>
              <w:jc w:val="left"/>
            </w:pPr>
            <w:r>
              <w:rPr/>
              <w:t xml:space="preserve">Risk Management Measures</w:t>
            </w:r>
            <w:r>
              <w:rPr/>
              <w:t xml:space="preserve"> </w:t>
            </w:r>
          </w:p>
        </w:tc>
      </w:tr>
      <w:tr>
        <w:trPr>
          <w:trHeight w:val="1439" w:hRule="atLeast"/>
        </w:trPr>
        <w:tc>
          <w:tcPr>
            <w:tcW w:w="5585" w:type="dxa"/>
            <w:gridSpan w:val="2"/>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4944" w:type="dxa"/>
            <w:tcBorders>
              <w:top w:val="single" w:sz="4" w:color="000000"/>
              <w:left w:val="single" w:sz="4" w:color="000000"/>
              <w:bottom w:val="single" w:sz="4" w:color="000000"/>
              <w:right w:val="single" w:sz="4" w:color="000000"/>
            </w:tcBorders>
            <w:vAlign w:val="top"/>
          </w:tcPr>
          <w:p>
            <w:pPr>
              <w:spacing w:before="0" w:after="0" w:line="259" w:lineRule="auto"/>
              <w:ind w:left="108" w:right="0" w:firstLine="0"/>
              <w:jc w:val="left"/>
            </w:pPr>
            <w:r>
              <w:rPr/>
              <w:t xml:space="preserve">in Zanzibar is also required.</w:t>
            </w:r>
            <w:r>
              <w:rPr/>
              <w:t xml:space="preserve"> </w:t>
            </w:r>
          </w:p>
        </w:tc>
      </w:tr>
      <w:tr>
        <w:trPr>
          <w:trHeight w:val="1594" w:hRule="atLeast"/>
        </w:trPr>
        <w:tc>
          <w:tcPr>
            <w:tcW w:w="5585" w:type="dxa"/>
            <w:gridSpan w:val="2"/>
            <w:tcBorders>
              <w:top w:val="single" w:sz="4" w:color="000000"/>
              <w:left w:val="single" w:sz="4" w:color="000000"/>
              <w:bottom w:val="single" w:sz="4" w:color="000000"/>
              <w:right w:val="single" w:sz="4" w:color="000000"/>
            </w:tcBorders>
            <w:vAlign w:val="center"/>
          </w:tcPr>
          <w:p>
            <w:pPr>
              <w:spacing w:before="0" w:after="0" w:line="259" w:lineRule="auto"/>
              <w:ind w:left="467" w:right="0" w:firstLine="0"/>
              <w:jc w:val="left"/>
            </w:pPr>
            <w:r>
              <w:rPr/>
              <w:t xml:space="preserve">v.</w:t>
            </w:r>
            <w:r>
              <w:rPr>
                <w:rFonts w:cs="Arial" w:hAnsi="Arial" w:eastAsia="Arial" w:ascii="Arial"/>
              </w:rPr>
              <w:t xml:space="preserve"> </w:t>
            </w:r>
            <w:r>
              <w:rPr/>
              <w:t xml:space="preserve">Political parties expect partisan/fin</w:t>
            </w:r>
            <w:r>
              <w:rPr>
                <w:rFonts w:cs="Calibri" w:hAnsi="Calibri" w:eastAsia="Calibri" w:ascii="Calibri"/>
                <w:i w:val="1"/>
              </w:rPr>
              <w:t xml:space="preserve">a</w:t>
            </w:r>
            <w:r>
              <w:rPr/>
              <w:t xml:space="preserve">ncial support. </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94" w:firstLine="0"/>
            </w:pPr>
            <w:r>
              <w:rPr/>
              <w:t xml:space="preserve">Dialogue, good communication, clear documents and messages, and diplomacy will make it clear that support is technical only and available to all parties. This part of the project ends in 2014 in advance of the election year.</w:t>
            </w:r>
            <w:r>
              <w:rPr/>
              <w:t xml:space="preserve"> </w:t>
            </w:r>
          </w:p>
        </w:tc>
      </w:tr>
      <w:tr>
        <w:trPr>
          <w:trHeight w:val="629" w:hRule="atLeast"/>
        </w:trPr>
        <w:tc>
          <w:tcPr>
            <w:tcW w:w="5585" w:type="dxa"/>
            <w:gridSpan w:val="2"/>
            <w:tcBorders>
              <w:top w:val="single" w:sz="4" w:color="000000"/>
              <w:left w:val="single" w:sz="4" w:color="000000"/>
              <w:bottom w:val="single" w:sz="4" w:color="000000"/>
              <w:right w:val="nil"/>
            </w:tcBorders>
            <w:vAlign w:val="top"/>
          </w:tcPr>
          <w:p>
            <w:pPr>
              <w:spacing w:before="0" w:after="0" w:line="259" w:lineRule="auto"/>
              <w:ind w:left="107" w:right="0" w:firstLine="0"/>
              <w:jc w:val="left"/>
            </w:pPr>
            <w:r>
              <w:rPr/>
              <w:t xml:space="preserve"> </w:t>
            </w:r>
          </w:p>
        </w:tc>
        <w:tc>
          <w:tcPr>
            <w:tcW w:w="4944" w:type="dxa"/>
            <w:tcBorders>
              <w:top w:val="single" w:sz="4" w:color="000000"/>
              <w:left w:val="nil"/>
              <w:bottom w:val="single" w:sz="4" w:color="000000"/>
              <w:right w:val="single" w:sz="4" w:color="000000"/>
            </w:tcBorders>
            <w:vAlign w:val="top"/>
          </w:tcPr>
          <w:p>
            <w:pPr>
              <w:bidi w:val="0"/>
              <w:spacing w:before="0" w:after="160" w:line="259" w:lineRule="auto"/>
              <w:ind w:left="0" w:right="0" w:firstLine="0"/>
              <w:jc w:val="left"/>
            </w:pPr>
          </w:p>
        </w:tc>
      </w:tr>
      <w:tr>
        <w:trPr>
          <w:trHeight w:val="5862" w:hRule="atLeast"/>
        </w:trPr>
        <w:tc>
          <w:tcPr>
            <w:tcW w:w="5585" w:type="dxa"/>
            <w:gridSpan w:val="2"/>
            <w:tcBorders>
              <w:top w:val="single" w:sz="4" w:color="000000"/>
              <w:left w:val="single" w:sz="4" w:color="000000"/>
              <w:bottom w:val="single" w:sz="4" w:color="000000"/>
              <w:right w:val="single" w:sz="4" w:color="000000"/>
            </w:tcBorders>
            <w:vAlign w:val="center"/>
          </w:tcPr>
          <w:p>
            <w:pPr>
              <w:spacing w:before="0" w:after="120" w:line="239" w:lineRule="auto"/>
              <w:ind w:left="107" w:right="97" w:firstLine="0"/>
            </w:pPr>
            <w:r>
              <w:rPr>
                <w:u w:val="single" w:color="000000"/>
              </w:rPr>
              <w:t xml:space="preserve">Prevailing political</w:t>
            </w:r>
            <w:r>
              <w:rPr>
                <w:u w:val="single" w:color="000000"/>
              </w:rPr>
              <w:t xml:space="preserve">-</w:t>
            </w:r>
            <w:r>
              <w:rPr>
                <w:u w:val="single" w:color="000000"/>
              </w:rPr>
              <w:t xml:space="preserve">economy structural forces inhibit</w:t>
            </w:r>
            <w:r>
              <w:rPr/>
              <w:t xml:space="preserve"> </w:t>
            </w:r>
            <w:r>
              <w:rPr>
                <w:u w:val="single" w:color="000000"/>
              </w:rPr>
              <w:t xml:space="preserve">meaningful progress on democratic governance and</w:t>
            </w:r>
            <w:r>
              <w:rPr/>
              <w:t xml:space="preserve"> </w:t>
            </w:r>
            <w:r>
              <w:rPr>
                <w:u w:val="single" w:color="000000"/>
              </w:rPr>
              <w:t xml:space="preserve">democratic and electoral reform processes including</w:t>
            </w:r>
            <w:r>
              <w:rPr/>
              <w:t xml:space="preserve"> </w:t>
            </w:r>
            <w:r>
              <w:rPr>
                <w:u w:val="single" w:color="000000"/>
              </w:rPr>
              <w:t xml:space="preserve">project implementation:</w:t>
            </w:r>
            <w:r>
              <w:rPr/>
              <w:t xml:space="preserve"> </w:t>
            </w:r>
          </w:p>
          <w:p>
            <w:pPr>
              <w:spacing w:before="0" w:after="98" w:line="259" w:lineRule="auto"/>
              <w:ind w:left="107" w:right="0" w:firstLine="0"/>
              <w:jc w:val="left"/>
            </w:pPr>
            <w:r>
              <w:rPr/>
              <w:t xml:space="preserve"> </w:t>
            </w:r>
          </w:p>
          <w:p>
            <w:pPr>
              <w:spacing w:before="0" w:after="0" w:line="259" w:lineRule="auto"/>
              <w:ind w:left="107" w:right="95" w:firstLine="0"/>
            </w:pPr>
            <w:r>
              <w:rPr/>
              <w:t xml:space="preserve">Despite remarkable progress since the return to multiparty systems, Tanzania still faces challenges including deep</w:t>
            </w:r>
            <w:r>
              <w:rPr/>
              <w:t xml:space="preserve"/>
            </w:r>
            <w:r>
              <w:rPr/>
              <w:t xml:space="preserve">rooted structural and historical constraints which militates against democratic consolidation </w:t>
            </w:r>
            <w:r>
              <w:rPr/>
              <w:t xml:space="preserve">– </w:t>
            </w:r>
            <w:r>
              <w:rPr/>
              <w:t xml:space="preserve">these maybe beyond the scope of this project but they can determine the success of a project like DEP:   a constitutional framework that is considered by some to be too restrictive to allow a well</w:t>
            </w:r>
            <w:r>
              <w:rPr/>
              <w:t xml:space="preserve">-</w:t>
            </w:r>
            <w:r>
              <w:rPr/>
              <w:t xml:space="preserve">functioning multiparty systems; poorly resourced and weak institutions of democracy such as political parties and parliament, weak separation of powers with a dominant executive, challenges of corruption, a judiciary which is not considered independent,  pervasive poverty, exclusion and unemployment among youth; deep gender inequality and poor public accountability to address this condition; and inadequate physical infrastructure.</w:t>
            </w:r>
            <w:r>
              <w:rPr/>
              <w:t xml:space="preserve"> </w:t>
            </w:r>
          </w:p>
        </w:tc>
        <w:tc>
          <w:tcPr>
            <w:tcW w:w="4944" w:type="dxa"/>
            <w:tcBorders>
              <w:top w:val="single" w:sz="4" w:color="000000"/>
              <w:left w:val="single" w:sz="4" w:color="000000"/>
              <w:bottom w:val="single" w:sz="4" w:color="000000"/>
              <w:right w:val="single" w:sz="4" w:color="000000"/>
            </w:tcBorders>
            <w:vAlign w:val="top"/>
          </w:tcPr>
          <w:p>
            <w:pPr>
              <w:spacing w:before="0" w:after="0" w:line="259" w:lineRule="auto"/>
              <w:ind w:left="108" w:right="94" w:firstLine="0"/>
            </w:pPr>
            <w:r>
              <w:rPr/>
              <w:t xml:space="preserve">These risks are being addressed at high</w:t>
            </w:r>
            <w:r>
              <w:rPr/>
              <w:t xml:space="preserve">-</w:t>
            </w:r>
            <w:r>
              <w:rPr/>
              <w:t xml:space="preserve">level through the UNDAP and may only require noting by the DEP management. Some of these issues are being addressed through the on</w:t>
            </w:r>
            <w:r>
              <w:rPr/>
              <w:t xml:space="preserve">-</w:t>
            </w:r>
            <w:r>
              <w:rPr/>
              <w:t xml:space="preserve">going</w:t>
            </w:r>
            <w:r>
              <w:rPr/>
              <w:t xml:space="preserve"> </w:t>
            </w:r>
            <w:r>
              <w:rPr/>
              <w:t xml:space="preserve">Constitutional Review and only need monitoring by the project.  They could best be addressed through the good office of the UNRC. </w:t>
            </w:r>
            <w:r>
              <w:rPr/>
              <w:t xml:space="preserve"> </w:t>
            </w:r>
          </w:p>
        </w:tc>
      </w:tr>
      <w:tr>
        <w:trPr>
          <w:trHeight w:val="524" w:hRule="atLeast"/>
        </w:trPr>
        <w:tc>
          <w:tcPr>
            <w:tcW w:w="827" w:type="dxa"/>
            <w:tcBorders>
              <w:top w:val="single" w:sz="4" w:color="000000"/>
              <w:left w:val="single" w:sz="4" w:color="000000"/>
              <w:bottom w:val="nil"/>
              <w:right w:val="nil"/>
            </w:tcBorders>
            <w:vAlign w:val="bottom"/>
          </w:tcPr>
          <w:p>
            <w:pPr>
              <w:spacing w:before="0" w:after="0" w:line="259" w:lineRule="auto"/>
              <w:ind w:left="467" w:right="0" w:firstLine="0"/>
              <w:jc w:val="left"/>
            </w:pPr>
            <w:r>
              <w:rPr/>
              <w:t xml:space="preserve">A.</w:t>
            </w:r>
            <w:r>
              <w:rPr>
                <w:rFonts w:cs="Arial" w:hAnsi="Arial" w:eastAsia="Arial" w:ascii="Arial"/>
              </w:rPr>
              <w:t xml:space="preserve"> </w:t>
            </w:r>
          </w:p>
        </w:tc>
        <w:tc>
          <w:tcPr>
            <w:tcW w:w="4758" w:type="dxa"/>
            <w:tcBorders>
              <w:top w:val="single" w:sz="4" w:color="000000"/>
              <w:left w:val="nil"/>
              <w:bottom w:val="nil"/>
              <w:right w:val="nil"/>
            </w:tcBorders>
            <w:vAlign w:val="bottom"/>
          </w:tcPr>
          <w:p>
            <w:pPr>
              <w:spacing w:before="0" w:after="0" w:line="259" w:lineRule="auto"/>
              <w:ind w:left="0" w:right="0" w:firstLine="0"/>
              <w:jc w:val="left"/>
            </w:pPr>
            <w:r>
              <w:rPr/>
              <w:t xml:space="preserve">Management and Technical Risks</w:t>
            </w:r>
            <w:r>
              <w:rPr/>
              <w:t xml:space="preserve">:</w:t>
            </w:r>
            <w:r>
              <w:rPr/>
              <w:t xml:space="preserve"> </w:t>
            </w:r>
          </w:p>
        </w:tc>
        <w:tc>
          <w:tcPr>
            <w:tcW w:w="4944" w:type="dxa"/>
            <w:tcBorders>
              <w:top w:val="single" w:sz="4" w:color="000000"/>
              <w:left w:val="nil"/>
              <w:bottom w:val="nil"/>
              <w:right w:val="single" w:sz="4" w:color="000000"/>
            </w:tcBorders>
            <w:vAlign w:val="top"/>
          </w:tcPr>
          <w:p>
            <w:pPr>
              <w:bidi w:val="0"/>
              <w:spacing w:before="0" w:after="160" w:line="259" w:lineRule="auto"/>
              <w:ind w:left="0" w:right="0" w:firstLine="0"/>
              <w:jc w:val="left"/>
            </w:pPr>
          </w:p>
        </w:tc>
      </w:tr>
      <w:tr>
        <w:trPr>
          <w:trHeight w:val="484" w:hRule="atLeast"/>
        </w:trPr>
        <w:tc>
          <w:tcPr>
            <w:tcW w:w="827" w:type="dxa"/>
            <w:tcBorders>
              <w:top w:val="nil"/>
              <w:left w:val="single" w:sz="4" w:color="000000"/>
              <w:bottom w:val="single" w:sz="4" w:color="000000"/>
              <w:right w:val="nil"/>
            </w:tcBorders>
            <w:vAlign w:val="top"/>
          </w:tcPr>
          <w:p>
            <w:pPr>
              <w:spacing w:before="0" w:after="0" w:line="259" w:lineRule="auto"/>
              <w:ind w:left="467" w:right="0" w:firstLine="0"/>
              <w:jc w:val="left"/>
            </w:pPr>
            <w:r>
              <w:rPr/>
              <w:t xml:space="preserve">1.</w:t>
            </w:r>
            <w:r>
              <w:rPr>
                <w:rFonts w:cs="Arial" w:hAnsi="Arial" w:eastAsia="Arial" w:ascii="Arial"/>
              </w:rPr>
              <w:t xml:space="preserve"> </w:t>
            </w:r>
          </w:p>
        </w:tc>
        <w:tc>
          <w:tcPr>
            <w:tcW w:w="4758" w:type="dxa"/>
            <w:tcBorders>
              <w:top w:val="nil"/>
              <w:left w:val="nil"/>
              <w:bottom w:val="single" w:sz="4" w:color="000000"/>
              <w:right w:val="nil"/>
            </w:tcBorders>
            <w:vAlign w:val="top"/>
          </w:tcPr>
          <w:p>
            <w:pPr>
              <w:spacing w:before="0" w:after="0" w:line="259" w:lineRule="auto"/>
              <w:ind w:left="0" w:right="0" w:firstLine="0"/>
            </w:pPr>
            <w:r>
              <w:rPr/>
              <w:t xml:space="preserve">Failure to draw lessons from previous support projec</w:t>
            </w:r>
          </w:p>
        </w:tc>
        <w:tc>
          <w:tcPr>
            <w:tcW w:w="4944" w:type="dxa"/>
            <w:tcBorders>
              <w:top w:val="nil"/>
              <w:left w:val="nil"/>
              <w:bottom w:val="single" w:sz="4" w:color="000000"/>
              <w:right w:val="single" w:sz="4" w:color="000000"/>
            </w:tcBorders>
            <w:vAlign w:val="top"/>
          </w:tcPr>
          <w:p>
            <w:pPr>
              <w:spacing w:before="0" w:after="0" w:line="259" w:lineRule="auto"/>
              <w:ind w:left="-39" w:right="0" w:firstLine="0"/>
              <w:jc w:val="left"/>
            </w:pPr>
            <w:r>
              <w:rPr/>
              <w:t xml:space="preserve">ts, observer missions and related assessments:</w:t>
            </w:r>
            <w:r>
              <w:rPr/>
              <w:t xml:space="preserve"> </w:t>
            </w:r>
          </w:p>
        </w:tc>
      </w:tr>
      <w:tr>
        <w:trPr>
          <w:trHeight w:val="1440"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223" w:right="0" w:firstLine="0"/>
              <w:jc w:val="center"/>
            </w:pPr>
            <w:r>
              <w:rPr/>
              <w:t xml:space="preserve">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95" w:hanging="360"/>
            </w:pPr>
            <w:r>
              <w:rPr/>
              <w:t xml:space="preserve">Project management lessons need to be addressed from DDTP experience, late start lessons from ESP experience, and political parties’</w:t>
            </w:r>
            <w:r>
              <w:rPr/>
              <w:t xml:space="preserve"> </w:t>
            </w:r>
            <w:r>
              <w:rPr/>
              <w:t xml:space="preserve">expectations from the DDTP experience.</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95" w:firstLine="0"/>
            </w:pPr>
            <w:r>
              <w:rPr/>
              <w:t xml:space="preserve">Pre project research, design, dialogue with national partners and donor DPs will manage this risk. Early start in 2013 following the Election Cycle. DIM</w:t>
            </w:r>
            <w:r>
              <w:rPr/>
              <w:t xml:space="preserve"> </w:t>
            </w:r>
            <w:r>
              <w:rPr/>
              <w:t xml:space="preserve">modality with direct UNDP management.</w:t>
            </w:r>
            <w:r>
              <w:rPr/>
              <w:t xml:space="preserve"> </w:t>
            </w:r>
          </w:p>
        </w:tc>
      </w:tr>
      <w:tr>
        <w:trPr>
          <w:trHeight w:val="1056"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467" w:right="0" w:firstLine="0"/>
              <w:jc w:val="left"/>
            </w:pPr>
            <w:r>
              <w:rPr/>
              <w:t xml:space="preserve">ii.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95" w:hanging="360"/>
            </w:pPr>
            <w:r>
              <w:rPr/>
              <w:t xml:space="preserve">Beneficiary partners may prefer to give priority to big ticket equipment procurement. DDTP and ESP 2010 delivered much big ticket equipment.</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0" w:firstLine="0"/>
            </w:pPr>
            <w:r>
              <w:rPr/>
              <w:t xml:space="preserve">Continuous dialogue and good communication needed about project goals and limitations. </w:t>
            </w:r>
            <w:r>
              <w:rPr/>
              <w:t xml:space="preserve"> </w:t>
            </w:r>
          </w:p>
        </w:tc>
      </w:tr>
    </w:tbl>
    <w:p>
      <w:pPr>
        <w:spacing w:before="0" w:after="0" w:line="259" w:lineRule="auto"/>
        <w:ind w:left="-1440" w:right="14" w:firstLine="0"/>
        <w:jc w:val="left"/>
      </w:pPr>
    </w:p>
    <w:tbl>
      <w:tblPr>
        <w:tblStyle w:val="TableGrid"/>
        <w:tblW w:w="10529" w:type="dxa"/>
        <w:tblInd w:w="-750" w:type="dxa"/>
        <w:tblCellMar>
          <w:top w:w="45" w:type="dxa"/>
          <w:left w:w="0" w:type="dxa"/>
          <w:bottom w:w="0" w:type="dxa"/>
          <w:right w:w="57" w:type="dxa"/>
        </w:tblCellMar>
      </w:tblPr>
      <w:tblGrid>
        <w:gridCol w:w="827"/>
        <w:gridCol w:w="4758"/>
        <w:gridCol w:w="4944"/>
      </w:tblGrid>
      <w:tr>
        <w:trPr>
          <w:trHeight w:val="545" w:hRule="atLeast"/>
        </w:trPr>
        <w:tc>
          <w:tcPr>
            <w:tcW w:w="5585" w:type="dxa"/>
            <w:gridSpan w:val="2"/>
            <w:tcBorders>
              <w:top w:val="single" w:sz="4" w:color="000000"/>
              <w:left w:val="single" w:sz="4" w:color="000000"/>
              <w:bottom w:val="single" w:sz="4" w:color="000000"/>
              <w:right w:val="single" w:sz="4" w:color="000000"/>
            </w:tcBorders>
            <w:shd w:val="clear" w:fill="cccccc"/>
            <w:vAlign w:val="center"/>
          </w:tcPr>
          <w:p>
            <w:pPr>
              <w:spacing w:before="0" w:after="0" w:line="259" w:lineRule="auto"/>
              <w:ind w:left="443" w:right="0" w:firstLine="0"/>
              <w:jc w:val="left"/>
            </w:pPr>
            <w:r>
              <w:rPr/>
              <w:t xml:space="preserve">Risk</w:t>
            </w:r>
            <w:r>
              <w:rPr/>
              <w:t xml:space="preserve"> </w:t>
            </w:r>
          </w:p>
        </w:tc>
        <w:tc>
          <w:tcPr>
            <w:tcW w:w="4944" w:type="dxa"/>
            <w:tcBorders>
              <w:top w:val="single" w:sz="4" w:color="000000"/>
              <w:left w:val="single" w:sz="4" w:color="000000"/>
              <w:bottom w:val="single" w:sz="4" w:color="000000"/>
              <w:right w:val="single" w:sz="4" w:color="000000"/>
            </w:tcBorders>
            <w:shd w:val="clear" w:fill="cccccc"/>
            <w:vAlign w:val="top"/>
          </w:tcPr>
          <w:p>
            <w:pPr>
              <w:spacing w:before="0" w:after="0" w:line="259" w:lineRule="auto"/>
              <w:ind w:left="444" w:right="0" w:firstLine="0"/>
              <w:jc w:val="left"/>
            </w:pPr>
            <w:r>
              <w:rPr/>
              <w:t xml:space="preserve">Risk Management Measures</w:t>
            </w:r>
            <w:r>
              <w:rPr/>
              <w:t xml:space="preserve"> </w:t>
            </w:r>
          </w:p>
        </w:tc>
      </w:tr>
      <w:tr>
        <w:trPr>
          <w:trHeight w:val="520" w:hRule="atLeast"/>
        </w:trPr>
        <w:tc>
          <w:tcPr>
            <w:tcW w:w="827" w:type="dxa"/>
            <w:tcBorders>
              <w:top w:val="single" w:sz="4" w:color="000000"/>
              <w:left w:val="single" w:sz="4" w:color="000000"/>
              <w:bottom w:val="single" w:sz="4" w:color="000000"/>
              <w:right w:val="nil"/>
            </w:tcBorders>
            <w:vAlign w:val="center"/>
          </w:tcPr>
          <w:p>
            <w:pPr>
              <w:spacing w:before="0" w:after="0" w:line="259" w:lineRule="auto"/>
              <w:ind w:left="467" w:right="0" w:firstLine="0"/>
              <w:jc w:val="left"/>
            </w:pPr>
            <w:r>
              <w:rPr/>
              <w:t xml:space="preserve">2.</w:t>
            </w:r>
            <w:r>
              <w:rPr>
                <w:rFonts w:cs="Arial" w:hAnsi="Arial" w:eastAsia="Arial" w:ascii="Arial"/>
              </w:rPr>
              <w:t xml:space="preserve"> </w:t>
            </w:r>
          </w:p>
        </w:tc>
        <w:tc>
          <w:tcPr>
            <w:tcW w:w="9702" w:type="dxa"/>
            <w:gridSpan w:val="2"/>
            <w:tcBorders>
              <w:top w:val="single" w:sz="4" w:color="000000"/>
              <w:left w:val="nil"/>
              <w:bottom w:val="single" w:sz="4" w:color="000000"/>
              <w:right w:val="single" w:sz="4" w:color="000000"/>
            </w:tcBorders>
            <w:vAlign w:val="center"/>
          </w:tcPr>
          <w:p>
            <w:pPr>
              <w:spacing w:before="0" w:after="0" w:line="259" w:lineRule="auto"/>
              <w:ind w:left="0" w:right="0" w:firstLine="0"/>
              <w:jc w:val="left"/>
            </w:pPr>
            <w:r>
              <w:rPr/>
              <w:t xml:space="preserve">Partnerships:</w:t>
            </w:r>
            <w:r>
              <w:rPr/>
              <w:t xml:space="preserve"> </w:t>
            </w:r>
          </w:p>
        </w:tc>
      </w:tr>
      <w:tr>
        <w:trPr>
          <w:trHeight w:val="2398"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269" w:right="0" w:firstLine="0"/>
              <w:jc w:val="center"/>
            </w:pPr>
            <w:r>
              <w:rPr/>
              <w:t xml:space="preserve">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50" w:hanging="360"/>
            </w:pPr>
            <w:r>
              <w:rPr/>
              <w:t xml:space="preserve">International project partners may seek to leverage specific political or non</w:t>
            </w:r>
            <w:r>
              <w:rPr/>
              <w:t xml:space="preserve">-</w:t>
            </w:r>
            <w:r>
              <w:rPr/>
              <w:t xml:space="preserve">technical interests through donor support.</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47" w:firstLine="0"/>
            </w:pPr>
            <w:r>
              <w:rPr/>
              <w:t xml:space="preserve">Under the principles of national ownership and with full respect to national sovereignty, the project will be managed by UNDP adhering to politically neutral and impartial technical support. Donor partners will be invited to provide high</w:t>
            </w:r>
            <w:r>
              <w:rPr/>
              <w:t xml:space="preserve">-</w:t>
            </w:r>
            <w:r>
              <w:rPr/>
              <w:t xml:space="preserve">level technical and strategic guidance at the Steering Committee, which will have a strictly non</w:t>
            </w:r>
            <w:r>
              <w:rPr/>
              <w:t xml:space="preserve">-</w:t>
            </w:r>
            <w:r>
              <w:rPr/>
              <w:t xml:space="preserve">political, nonpartisan</w:t>
            </w:r>
            <w:r>
              <w:rPr/>
              <w:t xml:space="preserve"> </w:t>
            </w:r>
            <w:r>
              <w:rPr/>
              <w:t xml:space="preserve">Terms of Reference.</w:t>
            </w:r>
            <w:r>
              <w:rPr/>
              <w:t xml:space="preserve"> </w:t>
            </w:r>
          </w:p>
        </w:tc>
      </w:tr>
      <w:tr>
        <w:trPr>
          <w:trHeight w:val="1594"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467" w:right="0" w:firstLine="0"/>
              <w:jc w:val="left"/>
            </w:pPr>
            <w:r>
              <w:rPr/>
              <w:t xml:space="preserve">ii.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0" w:hanging="360"/>
            </w:pPr>
            <w:r>
              <w:rPr/>
              <w:t xml:space="preserve">Insufficient funding for the project due to donor setting new priorities</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51" w:firstLine="0"/>
            </w:pPr>
            <w:r>
              <w:rPr/>
              <w:t xml:space="preserve">Indications so far by potential donors suggest this risk has low probability. The chief risk management measure would be prioritization of core capacity development activities by the Steering Committee, and through the work plans.</w:t>
            </w:r>
            <w:r>
              <w:rPr/>
              <w:t xml:space="preserve"> </w:t>
            </w:r>
          </w:p>
        </w:tc>
      </w:tr>
      <w:tr>
        <w:trPr>
          <w:trHeight w:val="1860"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0" w:right="97" w:firstLine="0"/>
              <w:jc w:val="right"/>
            </w:pPr>
            <w:r>
              <w:rPr/>
              <w:t xml:space="preserve">iii.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49" w:hanging="360"/>
            </w:pPr>
            <w:r>
              <w:rPr/>
              <w:t xml:space="preserve">Lack of mechanism to cooperate</w:t>
            </w:r>
            <w:r>
              <w:rPr/>
              <w:t xml:space="preserve"> </w:t>
            </w:r>
            <w:r>
              <w:rPr/>
              <w:t xml:space="preserve">with others outside the JDBF thereby creating duplication and overlap </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48" w:firstLine="0"/>
            </w:pPr>
            <w:r>
              <w:rPr/>
              <w:t xml:space="preserve">This is high probability because of some donors who recently expressed willingness to set up alternative</w:t>
            </w:r>
            <w:r>
              <w:rPr/>
              <w:t xml:space="preserve"> </w:t>
            </w:r>
            <w:r>
              <w:rPr/>
              <w:t xml:space="preserve">funding facilities outside the JDBF. The project will seek collaboration with other DPs and national stakeholders who are not part of the JDBF through informal but regular contacts and briefings. </w:t>
            </w:r>
            <w:r>
              <w:rPr/>
              <w:t xml:space="preserve"> </w:t>
            </w:r>
          </w:p>
        </w:tc>
      </w:tr>
      <w:tr>
        <w:trPr>
          <w:trHeight w:val="1325"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0" w:right="97" w:firstLine="0"/>
              <w:jc w:val="right"/>
            </w:pPr>
            <w:r>
              <w:rPr/>
              <w:t xml:space="preserve">iv.</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0" w:hanging="360"/>
            </w:pPr>
            <w:r>
              <w:rPr/>
              <w:t xml:space="preserve">Radically reduced government funding to EMBs due to economic or political considerations</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50" w:firstLine="0"/>
            </w:pPr>
            <w:r>
              <w:rPr/>
              <w:t xml:space="preserve">Project support is complementary to government funding. Activities will be implemented as largely stand</w:t>
            </w:r>
            <w:r>
              <w:rPr/>
              <w:t xml:space="preserve">-</w:t>
            </w:r>
            <w:r>
              <w:rPr/>
              <w:t xml:space="preserve">alone, not dependent on other government resources and development activities. </w:t>
            </w:r>
            <w:r>
              <w:rPr/>
              <w:t xml:space="preserve"> </w:t>
            </w:r>
          </w:p>
        </w:tc>
      </w:tr>
      <w:tr>
        <w:trPr>
          <w:trHeight w:val="1325" w:hRule="atLeast"/>
        </w:trPr>
        <w:tc>
          <w:tcPr>
            <w:tcW w:w="827" w:type="dxa"/>
            <w:tcBorders>
              <w:top w:val="single" w:sz="4" w:color="000000"/>
              <w:left w:val="single" w:sz="4" w:color="000000"/>
              <w:bottom w:val="single" w:sz="4" w:color="000000"/>
              <w:right w:val="nil"/>
            </w:tcBorders>
            <w:vAlign w:val="top"/>
          </w:tcPr>
          <w:p>
            <w:pPr>
              <w:spacing w:before="0" w:after="0" w:line="259" w:lineRule="auto"/>
              <w:ind w:left="467" w:right="0" w:firstLine="0"/>
              <w:jc w:val="left"/>
            </w:pPr>
            <w:r>
              <w:rPr/>
              <w:t xml:space="preserve">v.</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spacing w:before="0" w:after="0" w:line="259" w:lineRule="auto"/>
              <w:ind w:left="360" w:right="50" w:hanging="360"/>
            </w:pPr>
            <w:r>
              <w:rPr/>
              <w:t xml:space="preserve">Lack of capacity:</w:t>
            </w:r>
            <w:r>
              <w:rPr/>
              <w:t xml:space="preserve"> </w:t>
            </w:r>
            <w:r>
              <w:rPr/>
              <w:t xml:space="preserve">capacity</w:t>
            </w:r>
            <w:r>
              <w:rPr/>
              <w:t xml:space="preserve">-</w:t>
            </w:r>
            <w:r>
              <w:rPr/>
              <w:t xml:space="preserve">building activities may transfer knowledge unsuitable to the local context </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47" w:firstLine="0"/>
            </w:pPr>
            <w:r>
              <w:rPr/>
              <w:t xml:space="preserve">Ensure resource persons and TAs are well</w:t>
            </w:r>
            <w:r>
              <w:rPr/>
              <w:t xml:space="preserve">-</w:t>
            </w:r>
            <w:r>
              <w:rPr/>
              <w:t xml:space="preserve">briefed and sensitive to local context.  Arrange regional and other South</w:t>
            </w:r>
            <w:r>
              <w:rPr/>
              <w:t xml:space="preserve">-</w:t>
            </w:r>
            <w:r>
              <w:rPr/>
              <w:t xml:space="preserve">South expert support and cooperation where possible and appropriate.</w:t>
            </w:r>
            <w:r>
              <w:rPr/>
              <w:t xml:space="preserve"> </w:t>
            </w:r>
          </w:p>
        </w:tc>
      </w:tr>
      <w:tr>
        <w:trPr>
          <w:trHeight w:val="1323" w:hRule="atLeast"/>
        </w:trPr>
        <w:tc>
          <w:tcPr>
            <w:tcW w:w="827" w:type="dxa"/>
            <w:tcBorders>
              <w:top w:val="single" w:sz="4" w:color="000000"/>
              <w:left w:val="single" w:sz="4" w:color="000000"/>
              <w:bottom w:val="single" w:sz="4" w:color="000000"/>
              <w:right w:val="nil"/>
            </w:tcBorders>
            <w:vAlign w:val="center"/>
          </w:tcPr>
          <w:p>
            <w:pPr>
              <w:spacing w:before="0" w:after="0" w:line="259" w:lineRule="auto"/>
              <w:ind w:left="0" w:right="96" w:firstLine="0"/>
              <w:jc w:val="right"/>
            </w:pPr>
            <w:r>
              <w:rPr/>
              <w:t xml:space="preserve">vi.</w:t>
            </w:r>
            <w:r>
              <w:rPr>
                <w:rFonts w:cs="Arial" w:hAnsi="Arial" w:eastAsia="Arial" w:ascii="Arial"/>
              </w:rPr>
              <w:t xml:space="preserve"> </w:t>
            </w:r>
          </w:p>
        </w:tc>
        <w:tc>
          <w:tcPr>
            <w:tcW w:w="4758" w:type="dxa"/>
            <w:tcBorders>
              <w:top w:val="single" w:sz="4" w:color="000000"/>
              <w:left w:val="nil"/>
              <w:bottom w:val="single" w:sz="4" w:color="000000"/>
              <w:right w:val="single" w:sz="4" w:color="000000"/>
            </w:tcBorders>
            <w:vAlign w:val="center"/>
          </w:tcPr>
          <w:p>
            <w:pPr>
              <w:tabs>
                <w:tab w:val="center" w:pos="1837"/>
                <w:tab w:val="center" w:pos="4321"/>
              </w:tabs>
              <w:spacing w:before="0" w:after="0" w:line="259" w:lineRule="auto"/>
              <w:ind w:left="0" w:right="0" w:firstLine="0"/>
              <w:jc w:val="left"/>
            </w:pPr>
            <w:r>
              <w:rPr>
                <w:rFonts w:cs="Calibri" w:hAnsi="Calibri" w:eastAsia="Calibri" w:ascii="Calibri"/>
                <w:sz w:val="22"/>
              </w:rPr>
              <w:t xml:space="preserve">	</w:t>
            </w:r>
            <w:r>
              <w:rPr/>
              <w:t xml:space="preserve">Project subject to implementation delays </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47" w:firstLine="0"/>
            </w:pPr>
            <w:r>
              <w:rPr/>
              <w:t xml:space="preserve">DEX direct implementation greatly reduces this risk. The project will have a financial and other support team as well as support from the UNDP Country Office. Project start up is January 2013.</w:t>
            </w:r>
            <w:r>
              <w:rPr/>
              <w:t xml:space="preserve"> </w:t>
            </w:r>
          </w:p>
        </w:tc>
      </w:tr>
      <w:tr>
        <w:trPr>
          <w:trHeight w:val="1862" w:hRule="atLeast"/>
        </w:trPr>
        <w:tc>
          <w:tcPr>
            <w:tcW w:w="5585" w:type="dxa"/>
            <w:gridSpan w:val="2"/>
            <w:tcBorders>
              <w:top w:val="single" w:sz="4" w:color="000000"/>
              <w:left w:val="single" w:sz="4" w:color="000000"/>
              <w:bottom w:val="single" w:sz="4" w:color="000000"/>
              <w:right w:val="single" w:sz="4" w:color="000000"/>
            </w:tcBorders>
            <w:vAlign w:val="center"/>
          </w:tcPr>
          <w:p>
            <w:pPr>
              <w:spacing w:before="0" w:after="0" w:line="259" w:lineRule="auto"/>
              <w:ind w:left="107" w:right="0" w:firstLine="0"/>
              <w:jc w:val="left"/>
            </w:pPr>
            <w:r>
              <w:rPr/>
              <w:t xml:space="preserve">v. Procurement may be delayed by UNDP rules and </w:t>
            </w:r>
          </w:p>
          <w:p>
            <w:pPr>
              <w:spacing w:before="0" w:after="0" w:line="259" w:lineRule="auto"/>
              <w:ind w:left="107" w:right="0" w:firstLine="0"/>
              <w:jc w:val="left"/>
            </w:pPr>
            <w:r>
              <w:rPr/>
              <w:t xml:space="preserve">procures which are risk</w:t>
            </w:r>
            <w:r>
              <w:rPr/>
              <w:t xml:space="preserve">-</w:t>
            </w:r>
            <w:r>
              <w:rPr/>
              <w:t xml:space="preserve">averse</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08" w:right="49" w:firstLine="0"/>
            </w:pPr>
            <w:r>
              <w:rPr/>
              <w:t xml:space="preserve">The CO will take the lead to speedily recruit the PMT and set up the project management structure. Once on board, the PMT will refine the procurement plan for the first 12 months of the project and</w:t>
            </w:r>
            <w:r>
              <w:rPr/>
              <w:t xml:space="preserve"> </w:t>
            </w:r>
            <w:r>
              <w:rPr/>
              <w:t xml:space="preserve">implement it without fail. The TC will follow this closely and will report regularly to the PSC. </w:t>
            </w:r>
            <w:r>
              <w:rPr/>
              <w:t xml:space="preserve"> </w:t>
            </w:r>
          </w:p>
        </w:tc>
      </w:tr>
      <w:tr>
        <w:trPr>
          <w:trHeight w:val="1056" w:hRule="atLeast"/>
        </w:trPr>
        <w:tc>
          <w:tcPr>
            <w:tcW w:w="5585" w:type="dxa"/>
            <w:gridSpan w:val="2"/>
            <w:tcBorders>
              <w:top w:val="single" w:sz="4" w:color="000000"/>
              <w:left w:val="single" w:sz="4" w:color="000000"/>
              <w:bottom w:val="single" w:sz="4" w:color="000000"/>
              <w:right w:val="single" w:sz="4" w:color="000000"/>
            </w:tcBorders>
            <w:vAlign w:val="center"/>
          </w:tcPr>
          <w:p>
            <w:pPr>
              <w:spacing w:before="0" w:after="0" w:line="259" w:lineRule="auto"/>
              <w:ind w:left="107" w:right="52" w:firstLine="0"/>
            </w:pPr>
            <w:r>
              <w:rPr/>
              <w:t xml:space="preserve">Project seen/ accused of political bias favouring government or opposition or some other group of parties/political interests.</w:t>
            </w:r>
            <w:r>
              <w:rPr/>
              <w:t xml:space="preserve"> </w:t>
            </w:r>
          </w:p>
        </w:tc>
        <w:tc>
          <w:tcPr>
            <w:tcW w:w="4944" w:type="dxa"/>
            <w:tcBorders>
              <w:top w:val="single" w:sz="4" w:color="000000"/>
              <w:left w:val="single" w:sz="4" w:color="000000"/>
              <w:bottom w:val="single" w:sz="4" w:color="000000"/>
              <w:right w:val="single" w:sz="4" w:color="000000"/>
            </w:tcBorders>
            <w:vAlign w:val="bottom"/>
          </w:tcPr>
          <w:p>
            <w:pPr>
              <w:spacing w:before="0" w:after="0" w:line="259" w:lineRule="auto"/>
              <w:ind w:left="108" w:right="48" w:firstLine="0"/>
            </w:pPr>
            <w:r>
              <w:rPr/>
              <w:t xml:space="preserve">Dialogue, good communication, clear documents and messages, and diplomacy will make it clear that support is technical only and available to all parties. </w:t>
            </w:r>
          </w:p>
        </w:tc>
      </w:tr>
    </w:tbl>
    <w:tbl>
      <w:tblPr>
        <w:tblStyle w:val="TableGrid"/>
        <w:tblW w:w="10529" w:type="dxa"/>
        <w:tblInd w:w="-750" w:type="dxa"/>
        <w:tblCellMar>
          <w:top w:w="45" w:type="dxa"/>
          <w:left w:w="0" w:type="dxa"/>
          <w:bottom w:w="0" w:type="dxa"/>
          <w:right w:w="57" w:type="dxa"/>
        </w:tblCellMar>
      </w:tblPr>
      <w:tblGrid>
        <w:gridCol w:w="5585"/>
        <w:gridCol w:w="4944"/>
      </w:tblGrid>
      <w:tr>
        <w:trPr>
          <w:trHeight w:val="545" w:hRule="atLeast"/>
        </w:trPr>
        <w:tc>
          <w:tcPr>
            <w:tcW w:w="5585" w:type="dxa"/>
            <w:tcBorders>
              <w:top w:val="single" w:sz="4" w:color="000000"/>
              <w:left w:val="single" w:sz="4" w:color="000000"/>
              <w:bottom w:val="single" w:sz="4" w:color="000000"/>
              <w:right w:val="single" w:sz="4" w:color="000000"/>
            </w:tcBorders>
            <w:shd w:val="clear" w:fill="cccccc"/>
            <w:vAlign w:val="center"/>
          </w:tcPr>
          <w:p>
            <w:pPr>
              <w:spacing w:before="0" w:after="0" w:line="259" w:lineRule="auto"/>
              <w:ind w:left="336" w:right="0" w:firstLine="0"/>
              <w:jc w:val="left"/>
            </w:pPr>
            <w:r>
              <w:rPr/>
              <w:t xml:space="preserve">Risk</w:t>
            </w:r>
            <w:r>
              <w:rPr/>
              <w:t xml:space="preserve"> </w:t>
            </w:r>
          </w:p>
        </w:tc>
        <w:tc>
          <w:tcPr>
            <w:tcW w:w="4944" w:type="dxa"/>
            <w:tcBorders>
              <w:top w:val="single" w:sz="4" w:color="000000"/>
              <w:left w:val="single" w:sz="4" w:color="000000"/>
              <w:bottom w:val="single" w:sz="4" w:color="000000"/>
              <w:right w:val="single" w:sz="4" w:color="000000"/>
            </w:tcBorders>
            <w:shd w:val="clear" w:fill="cccccc"/>
            <w:vAlign w:val="top"/>
          </w:tcPr>
          <w:p>
            <w:pPr>
              <w:spacing w:before="0" w:after="0" w:line="259" w:lineRule="auto"/>
              <w:ind w:left="337" w:right="0" w:firstLine="0"/>
              <w:jc w:val="left"/>
            </w:pPr>
            <w:r>
              <w:rPr/>
              <w:t xml:space="preserve">Risk Management Measures</w:t>
            </w:r>
            <w:r>
              <w:rPr/>
              <w:t xml:space="preserve"> </w:t>
            </w:r>
          </w:p>
        </w:tc>
      </w:tr>
      <w:tr>
        <w:trPr>
          <w:trHeight w:val="901" w:hRule="atLeast"/>
        </w:trPr>
        <w:tc>
          <w:tcPr>
            <w:tcW w:w="558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4944"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pPr>
            <w:r>
              <w:rPr/>
              <w:t xml:space="preserve">This area of support will be completed in 2014 in advance of the election</w:t>
            </w:r>
            <w:r>
              <w:rPr/>
              <w:t xml:space="preserve"> </w:t>
            </w:r>
            <w:r>
              <w:rPr/>
              <w:t xml:space="preserve">year</w:t>
            </w:r>
            <w:r>
              <w:rPr/>
              <w:t xml:space="preserve"> </w:t>
            </w:r>
            <w:r>
              <w:rPr/>
              <w:t xml:space="preserve">2015.</w:t>
            </w:r>
            <w:r>
              <w:rPr/>
              <w:t xml:space="preserve"> </w:t>
            </w:r>
          </w:p>
        </w:tc>
      </w:tr>
      <w:tr>
        <w:trPr>
          <w:trHeight w:val="1325" w:hRule="atLeast"/>
        </w:trPr>
        <w:tc>
          <w:tcPr>
            <w:tcW w:w="5585" w:type="dxa"/>
            <w:tcBorders>
              <w:top w:val="single" w:sz="4" w:color="000000"/>
              <w:left w:val="single" w:sz="4" w:color="000000"/>
              <w:bottom w:val="single" w:sz="4" w:color="000000"/>
              <w:right w:val="single" w:sz="4" w:color="000000"/>
            </w:tcBorders>
            <w:vAlign w:val="center"/>
          </w:tcPr>
          <w:p>
            <w:pPr>
              <w:spacing w:before="0" w:after="0" w:line="259" w:lineRule="auto"/>
              <w:ind w:left="0" w:right="52" w:firstLine="0"/>
            </w:pPr>
            <w:r>
              <w:rPr/>
              <w:t xml:space="preserve">Government will adequately fund core State responsibilities for capacities in Voter Registration and most referendum and election costs.</w:t>
            </w:r>
            <w:r>
              <w:rPr/>
              <w:t xml:space="preserve"> </w:t>
            </w:r>
          </w:p>
        </w:tc>
        <w:tc>
          <w:tcPr>
            <w:tcW w:w="4944" w:type="dxa"/>
            <w:tcBorders>
              <w:top w:val="single" w:sz="4" w:color="000000"/>
              <w:left w:val="single" w:sz="4" w:color="000000"/>
              <w:bottom w:val="single" w:sz="4" w:color="000000"/>
              <w:right w:val="single" w:sz="4" w:color="000000"/>
            </w:tcBorders>
            <w:vAlign w:val="center"/>
          </w:tcPr>
          <w:p>
            <w:pPr>
              <w:spacing w:before="0" w:after="0" w:line="259" w:lineRule="auto"/>
              <w:ind w:left="1" w:right="48" w:firstLine="0"/>
            </w:pPr>
            <w:r>
              <w:rPr/>
              <w:t xml:space="preserve">The PSC will discuss this risk in its sessions and urge the EMB’s to follow up closely with the government as failure to register the electorate in good time will have high political stakes.</w:t>
            </w:r>
            <w:r>
              <w:rPr/>
              <w:t xml:space="preserve"> </w:t>
            </w:r>
          </w:p>
        </w:tc>
      </w:tr>
    </w:tbl>
    <w:p>
      <w:pPr>
        <w:spacing w:before="0" w:after="459" w:line="259" w:lineRule="auto"/>
        <w:ind w:left="0" w:right="0" w:firstLine="0"/>
        <w:jc w:val="left"/>
      </w:pPr>
      <w:r>
        <w:rPr>
          <w:rFonts w:cs="Calibri" w:hAnsi="Calibri" w:eastAsia="Calibri" w:ascii="Calibri"/>
          <w:b w:val="1"/>
        </w:rPr>
        <w:t xml:space="preserve"> </w:t>
      </w:r>
    </w:p>
    <w:p>
      <w:pPr>
        <w:pStyle w:val="heading1"/>
        <w:tabs>
          <w:tab w:val="center" w:pos="5833"/>
        </w:tabs>
        <w:spacing w:before="0" w:after="0" w:line="259" w:lineRule="auto"/>
        <w:ind w:left="-14" w:right="0" w:firstLine="0"/>
      </w:pPr>
      <w:r>
        <w:rPr/>
        <w:t xml:space="preserve">F.</w:t>
      </w:r>
      <w:r>
        <w:rPr>
          <w:sz w:val="36"/>
        </w:rPr>
        <w:t xml:space="preserve"> </w:t>
      </w:r>
      <w:r>
        <w:rPr/>
        <w:t xml:space="preserve">MANAGEMENT ARRANGEMENTS</w:t>
      </w:r>
      <w:r>
        <w:rPr>
          <w:sz w:val="36"/>
        </w:rPr>
        <w:t xml:space="preserve">  	 </w:t>
      </w:r>
    </w:p>
    <w:p>
      <w:pPr>
        <w:spacing w:before="0" w:after="0" w:line="259" w:lineRule="auto"/>
        <w:ind w:left="0" w:right="0" w:firstLine="0"/>
        <w:jc w:val="left"/>
      </w:pPr>
      <w:r>
        <w:rPr>
          <w:rFonts w:cs="Calibri" w:hAnsi="Calibri" w:eastAsia="Calibri" w:ascii="Calibri"/>
          <w:i w:val="1"/>
          <w:sz w:val="24"/>
        </w:rPr>
        <w:t xml:space="preserve"> </w:t>
      </w:r>
    </w:p>
    <w:p>
      <w:pPr>
        <w:pStyle w:val="normal"/>
        <w:spacing w:before="0" w:after="3" w:line="248" w:lineRule="auto"/>
        <w:ind w:left="-5" w:right="754"/>
      </w:pPr>
      <w:r>
        <w:rPr/>
        <w:t xml:space="preserve">DEP will be implemented under the overall guiding principle of maximizing the leadership of national institutions in the electoral process. The international assistance provided should be considered as an extension of national resources, and is intended to support, and not replace, national management and coordination structures, in line with the Joint Assistance Strategy for Tanzania (JAST).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Notwithstanding</w:t>
      </w:r>
      <w:r>
        <w:rPr/>
        <w:t xml:space="preserve"> </w:t>
      </w:r>
      <w:r>
        <w:rPr/>
        <w:t xml:space="preserve">this, support to the conduct of free, fair and credible elections requires to be delivered with maximum impartiality. Further</w:t>
      </w:r>
      <w:r>
        <w:rPr/>
        <w:t xml:space="preserve"> – </w:t>
      </w:r>
      <w:r>
        <w:rPr/>
        <w:t xml:space="preserve">beyond the cyclical approach to elections within which this Project of assistance should be viewed </w:t>
      </w:r>
      <w:r>
        <w:rPr/>
        <w:t xml:space="preserve">– </w:t>
      </w:r>
      <w:r>
        <w:rPr/>
        <w:t xml:space="preserve">DEP</w:t>
      </w:r>
      <w:r>
        <w:rPr/>
        <w:t xml:space="preserve"> </w:t>
      </w:r>
      <w:r>
        <w:rPr/>
        <w:t xml:space="preserve">will require a significant and intense capacity surge limited in time to the intense period leading up to and through elections, over and above what</w:t>
      </w:r>
      <w:r>
        <w:rPr/>
        <w:t xml:space="preserve"> </w:t>
      </w:r>
      <w:r>
        <w:rPr/>
        <w:t xml:space="preserve">can presently be mobilized through the Electoral Management Bodies.  In light of the above</w:t>
      </w:r>
      <w:r>
        <w:rPr/>
        <w:t xml:space="preserve">,</w:t>
      </w:r>
      <w:r>
        <w:rPr/>
        <w:t xml:space="preserve"> </w:t>
      </w:r>
      <w:r>
        <w:rPr/>
        <w:t xml:space="preserve">the project will be delivered using the UNDP Direct Implementation Modality, and governed by a Project Steering Committee consisting of a wide range of national and international stakeholders. Under this overall direct implementation arrangement, it is foreseen that the Electoral Management Bodies, UN agencies, and Civil Society Organizations will implement a range of activities.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UNDP’s capacity to deliver electoral support was most recently demonstrated through the electoral support project delivered under Direct Execution for</w:t>
      </w:r>
      <w:r>
        <w:rPr/>
        <w:t xml:space="preserve"> </w:t>
      </w:r>
      <w:r>
        <w:rPr/>
        <w:t xml:space="preserve">the conduct of the 2010 elections. An independent evaluation of the project found that UNDP’s involvement “ensured the provision of the necessary policy, technical, administrative, financial and procurement resources to facilitate the success” of the activities.</w:t>
      </w:r>
      <w:r>
        <w:rPr/>
        <w:t xml:space="preserve"> </w:t>
      </w:r>
    </w:p>
    <w:p>
      <w:pPr>
        <w:spacing w:before="0" w:after="218" w:line="259" w:lineRule="auto"/>
        <w:ind w:left="0" w:right="0" w:firstLine="0"/>
        <w:jc w:val="left"/>
      </w:pPr>
      <w:r>
        <w:rPr>
          <w:rFonts w:cs="Calibri" w:hAnsi="Calibri" w:eastAsia="Calibri" w:ascii="Calibri"/>
          <w:b w:val="1"/>
        </w:rPr>
        <w:t xml:space="preserve"> </w:t>
      </w:r>
    </w:p>
    <w:p>
      <w:pPr>
        <w:pStyle w:val="heading2"/>
        <w:spacing w:before="0" w:after="44" w:line="249" w:lineRule="auto"/>
        <w:ind w:left="-5"/>
      </w:pPr>
      <w:r>
        <w:rPr/>
        <w:t xml:space="preserve">F.1</w:t>
      </w:r>
      <w:r>
        <w:rPr/>
        <w:t xml:space="preserve"> </w:t>
      </w:r>
      <w:r>
        <w:rPr/>
        <w:t xml:space="preserve">Project Management Team (PMT)</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DEP will hire a PMT comprising</w:t>
      </w:r>
      <w:r>
        <w:rPr/>
        <w:t xml:space="preserve"> </w:t>
      </w:r>
      <w:r>
        <w:rPr/>
        <w:t xml:space="preserve">professional personnel to support the project and working under the direct supervision of the UNDP Senior Management with direct support from the UNDP Democratic Governance staff and Operations/Procurement staff.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 will hire an experienced International Chief Technical Advisor and Project Manager as well as an Operations Manager. The full TORs for these three key positions are attached as Appendix I. Other project staff will include IT and Voters Registration Experts; Voter Education Experts; Peace and Conflict Prevention Expert; Communications Specialist; Gender Expert. Logistical and administrative staff will also be part of the project team. International long and short</w:t>
      </w:r>
      <w:r>
        <w:rPr/>
        <w:t xml:space="preserve">-</w:t>
      </w:r>
      <w:r>
        <w:rPr/>
        <w:t xml:space="preserve">term Technical </w:t>
      </w:r>
      <w:r>
        <w:rPr/>
        <w:t xml:space="preserve">Experts will also be recruited to support project activities in functional areas such as Electoral Law, ICT, Conflict Transformation, Organisational Development, Procurement, Stakeholder Management and Communications. Partnerships will be pursued with UNV to explore the possibility of deploying UN Volunteers project capacity support especially during the election period. The PMT will monitor project progress regularly and anticipate and address upcoming issues. The Project Manager as part of the PMT is required to maintain dialogue with national stakeholders on project implementation and reporting to the Technical and Steering Committees.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Project will draw on the existing One UN and UNDP Country Office procurement structures and mechanisms as well as the global procurement support for elections driven by the global procurement hub in Copenhagen.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PMT will operate from a project office within Dar es Salaam and will liaise closely with NEC. To cater for the particular needs of Zanzibar, the project will provide for a Project</w:t>
      </w:r>
      <w:r>
        <w:rPr/>
        <w:t xml:space="preserve"> </w:t>
      </w:r>
      <w:r>
        <w:rPr/>
        <w:t xml:space="preserve">Specialist for Zanzibar and a small project team to manage activity implementation on the isles</w:t>
      </w:r>
      <w:r>
        <w:rPr/>
        <w:t xml:space="preserve"> </w:t>
      </w:r>
      <w:r>
        <w:rPr/>
        <w:t xml:space="preserve">when required</w:t>
      </w:r>
      <w:r>
        <w:rPr/>
        <w:t xml:space="preserve">.</w:t>
      </w:r>
      <w:r>
        <w:rPr/>
        <w:t xml:space="preserve"> </w:t>
      </w:r>
      <w:r>
        <w:rPr/>
        <w:t xml:space="preserve">The Project Specialist and team will work within the One UN Sub</w:t>
      </w:r>
      <w:r>
        <w:rPr/>
        <w:t xml:space="preserve">-</w:t>
      </w:r>
      <w:r>
        <w:rPr/>
        <w:t xml:space="preserve">office on Zanzibar</w:t>
      </w:r>
      <w:r>
        <w:rPr/>
        <w:t xml:space="preserve">. </w:t>
      </w:r>
      <w:r>
        <w:rPr/>
        <w:t xml:space="preserve"> </w:t>
      </w:r>
      <w:r>
        <w:rPr/>
        <w:t xml:space="preserve">In advance of full implementation of the project</w:t>
      </w:r>
      <w:r>
        <w:rPr/>
        <w:t xml:space="preserve">,</w:t>
      </w:r>
      <w:r>
        <w:rPr/>
        <w:t xml:space="preserve"> </w:t>
      </w:r>
      <w:r>
        <w:rPr/>
        <w:t xml:space="preserve">some key capacities will be provided through a fast</w:t>
      </w:r>
      <w:r>
        <w:rPr/>
        <w:t xml:space="preserve">-</w:t>
      </w:r>
      <w:r>
        <w:rPr/>
        <w:t xml:space="preserve">tracking mechanism for the effective and efficient start</w:t>
      </w:r>
      <w:r>
        <w:rPr/>
        <w:t xml:space="preserve">-</w:t>
      </w:r>
      <w:r>
        <w:rPr/>
        <w:t xml:space="preserve">up of DEP</w:t>
      </w:r>
      <w:r>
        <w:rPr/>
        <w:t xml:space="preserve">. </w:t>
      </w:r>
      <w:r>
        <w:rPr/>
        <w:t xml:space="preserve">These capacities will include Project Management, Electoral Law and Voters Registration experts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PMT</w:t>
      </w:r>
      <w:r>
        <w:rPr/>
        <w:t xml:space="preserve"> </w:t>
      </w:r>
      <w:r>
        <w:rPr/>
        <w:t xml:space="preserve">will support the Country Office in production of timely and regular(monthly) updates on project implementation and on progress in electoral readiness on the part of the EMB’s and other stakeholders for submission to the UN Focal Point for Electoral Assistance, through the Electoral Assistance Division of the Department of Political Affairs.</w:t>
      </w:r>
      <w:r>
        <w:rPr/>
        <w:t xml:space="preserve"> </w:t>
      </w:r>
    </w:p>
    <w:p>
      <w:pPr>
        <w:spacing w:before="0" w:after="216" w:line="259" w:lineRule="auto"/>
        <w:ind w:left="0" w:right="0" w:firstLine="0"/>
        <w:jc w:val="left"/>
      </w:pPr>
      <w:r>
        <w:rPr/>
        <w:t xml:space="preserve"> </w:t>
      </w:r>
    </w:p>
    <w:p>
      <w:pPr>
        <w:pStyle w:val="heading2"/>
        <w:spacing w:before="0" w:after="44" w:line="249" w:lineRule="auto"/>
        <w:ind w:left="-5"/>
      </w:pPr>
      <w:r>
        <w:rPr/>
        <w:t xml:space="preserve">F.2 Implementing Partner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 Tanzania is the project</w:t>
      </w:r>
      <w:r>
        <w:rPr/>
        <w:t xml:space="preserve"> </w:t>
      </w:r>
      <w:r>
        <w:rPr/>
        <w:t xml:space="preserve">Implementing Partner</w:t>
      </w:r>
      <w:r>
        <w:rPr/>
        <w:t xml:space="preserve">. </w:t>
      </w:r>
      <w:r>
        <w:rPr/>
        <w:t xml:space="preserve"> </w:t>
      </w:r>
      <w:r>
        <w:rPr/>
        <w:t xml:space="preserve">The PMT</w:t>
      </w:r>
      <w:r>
        <w:rPr/>
        <w:t xml:space="preserve"> </w:t>
      </w:r>
      <w:r>
        <w:rPr/>
        <w:t xml:space="preserve">will be responsible for day</w:t>
      </w:r>
      <w:r>
        <w:rPr/>
        <w:t xml:space="preserve">-</w:t>
      </w:r>
      <w:r>
        <w:rPr/>
        <w:t xml:space="preserve">to</w:t>
      </w:r>
      <w:r>
        <w:rPr/>
        <w:t xml:space="preserve">-</w:t>
      </w:r>
      <w:r>
        <w:rPr/>
        <w:t xml:space="preserve">day project management including the monitoring and evaluation of project interventions and achieving and reporting on project outputs. UNDP will ensure the effective use of project resources; undertake contracting other organizations or entities to assist in project implementation; recruiting project staff and procurement of non</w:t>
      </w:r>
      <w:r>
        <w:rPr/>
        <w:t xml:space="preserve">-</w:t>
      </w:r>
      <w:r>
        <w:rPr/>
        <w:t xml:space="preserve">expendable equipment in accordance with UNDP rules and procedures taking into consideration the specifications laid down by the PMT</w:t>
      </w:r>
      <w:r>
        <w:rPr/>
        <w:t xml:space="preserve"> </w:t>
      </w:r>
      <w:r>
        <w:rPr/>
        <w:t xml:space="preserve">and others</w:t>
      </w:r>
      <w:r>
        <w:rPr/>
        <w:t xml:space="preserve">; </w:t>
      </w:r>
      <w:r>
        <w:rPr/>
        <w:t xml:space="preserve">and communicate and report on project results. </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t xml:space="preserve"> </w:t>
      </w:r>
    </w:p>
    <w:p>
      <w:pPr>
        <w:spacing w:before="0" w:after="0" w:line="265" w:lineRule="auto"/>
        <w:ind w:left="-5" w:right="5436"/>
        <w:jc w:val="left"/>
      </w:pPr>
      <w:r>
        <w:rPr>
          <w:u w:val="single" w:color="000000"/>
        </w:rPr>
        <w:t xml:space="preserve">UNDP responsibilities as Implementing Partner</w:t>
      </w:r>
      <w:r>
        <w:rPr>
          <w:u w:val="single" w:color="000000"/>
        </w:rPr>
        <w:t xml:space="preserve">:</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UNDP CO as the Implementing Partner will be responsible for setting up the project. This includes the recruitment of project management expert to assist in the initial phase of the project, i.e. setting up project systems and processes and facilitating the recruitment of project staff, procurement of equipment, and securing office space for the project.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 will establish mechanisms</w:t>
      </w:r>
      <w:r>
        <w:rPr/>
        <w:t xml:space="preserve"> </w:t>
      </w:r>
      <w:r>
        <w:rPr/>
        <w:t xml:space="preserve">for rapid and flexible channeling of TA and disbursement of grants, taking into account the lessons learnt from ESP. </w:t>
      </w:r>
      <w:r>
        <w:rPr/>
        <w:t xml:space="preserve"> </w:t>
      </w:r>
      <w:r>
        <w:rPr/>
        <w:t xml:space="preserve">These mechanisms will include: </w:t>
      </w:r>
      <w:r>
        <w:rPr/>
        <w:t xml:space="preserve"> </w:t>
      </w:r>
    </w:p>
    <w:p>
      <w:pPr>
        <w:spacing w:before="0" w:after="12" w:line="259" w:lineRule="auto"/>
        <w:ind w:left="0" w:right="0" w:firstLine="0"/>
        <w:jc w:val="left"/>
      </w:pPr>
      <w:r>
        <w:rPr/>
        <w:t xml:space="preserve"> </w:t>
      </w:r>
    </w:p>
    <w:p>
      <w:pPr>
        <w:pStyle w:val="normal"/>
        <w:numPr>
          <w:ilvl w:val="0"/>
          <w:numId w:val="15"/>
        </w:numPr>
        <w:spacing w:before="0" w:after="26" w:line="248" w:lineRule="auto"/>
        <w:ind w:left="770" w:right="754" w:hanging="566"/>
      </w:pPr>
      <w:r>
        <w:rPr/>
        <w:t xml:space="preserve">UNDP will directly implement project activities and assume direct responsibility for all project results</w:t>
      </w:r>
      <w:r>
        <w:rPr/>
        <w:t xml:space="preserve">  </w:t>
      </w:r>
    </w:p>
    <w:p>
      <w:pPr>
        <w:pStyle w:val="normal"/>
        <w:numPr>
          <w:ilvl w:val="0"/>
          <w:numId w:val="15"/>
        </w:numPr>
        <w:spacing w:before="0" w:after="3" w:line="248" w:lineRule="auto"/>
        <w:ind w:left="770" w:right="754" w:hanging="566"/>
      </w:pPr>
      <w:r>
        <w:rPr/>
        <w:t xml:space="preserve">Responsible Parties will be requested,</w:t>
      </w:r>
      <w:r>
        <w:rPr/>
        <w:t xml:space="preserve"> </w:t>
      </w:r>
      <w:r>
        <w:rPr/>
        <w:t xml:space="preserve">where necessary</w:t>
      </w:r>
      <w:r>
        <w:rPr/>
        <w:t xml:space="preserve">,</w:t>
      </w:r>
      <w:r>
        <w:rPr/>
        <w:t xml:space="preserve"> </w:t>
      </w:r>
      <w:r>
        <w:rPr/>
        <w:t xml:space="preserve">to carry out specific activities within</w:t>
      </w:r>
      <w:r>
        <w:rPr/>
        <w:t xml:space="preserve"> </w:t>
      </w:r>
      <w:r>
        <w:rPr/>
        <w:t xml:space="preserve">the project, e.g.</w:t>
      </w:r>
      <w:r>
        <w:rPr/>
        <w:t xml:space="preserve"> </w:t>
      </w:r>
      <w:r>
        <w:rPr/>
        <w:t xml:space="preserve">UNESCO, RPP, EMBs or</w:t>
      </w:r>
      <w:r>
        <w:rPr/>
        <w:t xml:space="preserve"> </w:t>
      </w:r>
      <w:r>
        <w:rPr/>
        <w:t xml:space="preserve">UN Women  </w:t>
      </w:r>
      <w:r>
        <w:rPr/>
        <w:t xml:space="preserve"> </w:t>
      </w:r>
    </w:p>
    <w:p>
      <w:pPr>
        <w:pStyle w:val="normal"/>
        <w:numPr>
          <w:ilvl w:val="0"/>
          <w:numId w:val="15"/>
        </w:numPr>
        <w:spacing w:before="0" w:after="3" w:line="248" w:lineRule="auto"/>
        <w:ind w:left="770" w:right="754" w:hanging="566"/>
      </w:pPr>
      <w:r>
        <w:rPr/>
        <w:t xml:space="preserve">UNDP will establish a facility for open grants to organizations addressing emergent voter</w:t>
      </w:r>
      <w:r>
        <w:rPr/>
        <w:t xml:space="preserve"> </w:t>
      </w:r>
      <w:r>
        <w:rPr/>
        <w:t xml:space="preserve">educational needs with funding given on the basis of clear, competitive rules based on UNDP procurement regulations and agreed upon by PSC.</w:t>
      </w:r>
      <w:r>
        <w:rPr/>
        <w:t xml:space="preserve">  </w:t>
      </w:r>
    </w:p>
    <w:p>
      <w:pPr>
        <w:spacing w:before="0" w:after="0" w:line="259" w:lineRule="auto"/>
        <w:ind w:left="0" w:right="0" w:firstLine="0"/>
        <w:jc w:val="left"/>
      </w:pPr>
      <w:r>
        <w:rPr/>
        <w:t xml:space="preserve"> </w:t>
      </w:r>
    </w:p>
    <w:p>
      <w:pPr>
        <w:pStyle w:val="heading2"/>
        <w:spacing w:before="0" w:after="9" w:line="249" w:lineRule="auto"/>
        <w:ind w:left="-5"/>
      </w:pPr>
      <w:r>
        <w:rPr/>
        <w:t xml:space="preserve">F.3 Project</w:t>
      </w:r>
      <w:r>
        <w:rPr>
          <w:rFonts w:cs="Calibri" w:hAnsi="Calibri" w:eastAsia="Calibri" w:ascii="Calibri"/>
          <w:i w:val="0"/>
        </w:rPr>
        <w:t xml:space="preserve"> </w:t>
      </w:r>
      <w:r>
        <w:rPr/>
        <w:t xml:space="preserve">Steering Committee</w:t>
      </w:r>
      <w:r>
        <w:rPr>
          <w:rFonts w:cs="Calibri" w:hAnsi="Calibri" w:eastAsia="Calibri" w:ascii="Calibri"/>
          <w:i w:val="0"/>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A</w:t>
      </w:r>
      <w:r>
        <w:rPr/>
        <w:t xml:space="preserve"> </w:t>
      </w:r>
      <w:r>
        <w:rPr/>
        <w:t xml:space="preserve">high level Project Steering Committee (PSC) will be formed to provide policy and strategic guidance to the project. This high</w:t>
      </w:r>
      <w:r>
        <w:rPr/>
        <w:t xml:space="preserve">-</w:t>
      </w:r>
      <w:r>
        <w:rPr/>
        <w:t xml:space="preserve">level governing body will be guided by the government’s commitment to conduct free, fair, and credible elections and ensure that the project is responsive to the needs</w:t>
      </w:r>
      <w:r>
        <w:rPr/>
        <w:t xml:space="preserve"> </w:t>
      </w:r>
      <w:r>
        <w:rPr/>
        <w:t xml:space="preserve">of all Tanzanians especially in the context of the challenges which the project aims to address. The PSC will make strategic management decisions on a consensus basis regarding project</w:t>
      </w:r>
      <w:r>
        <w:rPr/>
        <w:t xml:space="preserve"> </w:t>
      </w:r>
      <w:r>
        <w:rPr/>
        <w:t xml:space="preserve">implementation</w:t>
      </w:r>
      <w:r>
        <w:rPr/>
        <w:t xml:space="preserve"> </w:t>
      </w:r>
      <w:r>
        <w:rPr/>
        <w:t xml:space="preserve">including as and when guidance is required or requested by the Project Manager/Project Management Team. The PSC will</w:t>
      </w:r>
      <w:r>
        <w:rPr/>
        <w:t xml:space="preserve"> </w:t>
      </w:r>
      <w:r>
        <w:rPr/>
        <w:t xml:space="preserve">be responsible for providing</w:t>
      </w:r>
      <w:r>
        <w:rPr/>
        <w:t xml:space="preserve"> </w:t>
      </w:r>
      <w:r>
        <w:rPr/>
        <w:t xml:space="preserve">direct oversight to the project and steering it to ensure the achievement of stated objectives and providing</w:t>
      </w:r>
      <w:r>
        <w:rPr/>
        <w:t xml:space="preserve"> </w:t>
      </w:r>
      <w:r>
        <w:rPr/>
        <w:t xml:space="preserve">project quality assurance for project results</w:t>
      </w:r>
      <w:r>
        <w:rPr/>
        <w:t xml:space="preserve">.  </w:t>
      </w:r>
      <w:r>
        <w:rPr/>
        <w:t xml:space="preserve">Finally, the PSC</w:t>
      </w:r>
      <w:r>
        <w:rPr/>
        <w:t xml:space="preserve"> </w:t>
      </w:r>
      <w:r>
        <w:rPr/>
        <w:t xml:space="preserve">will also approve work plans and progress reports submitted by the Project Management</w:t>
      </w:r>
      <w:r>
        <w:rPr/>
        <w:t xml:space="preserve"> </w:t>
      </w:r>
      <w:r>
        <w:rPr/>
        <w:t xml:space="preserve">and reviewed by the Technical Committees.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PSC will be co</w:t>
      </w:r>
      <w:r>
        <w:rPr/>
        <w:t xml:space="preserve">-</w:t>
      </w:r>
      <w:r>
        <w:rPr/>
        <w:t xml:space="preserve">chaired by the Chairs of the NEC/ZEC and</w:t>
      </w:r>
      <w:r>
        <w:rPr/>
        <w:t xml:space="preserve"> </w:t>
      </w:r>
      <w:r>
        <w:rPr/>
        <w:t xml:space="preserve">the UN Resident Coordinator/UNDP Resident Representative. The Co</w:t>
      </w:r>
      <w:r>
        <w:rPr/>
        <w:t xml:space="preserve">-</w:t>
      </w:r>
      <w:r>
        <w:rPr/>
        <w:t xml:space="preserve">chairs</w:t>
      </w:r>
      <w:r>
        <w:rPr/>
        <w:t xml:space="preserve">’ </w:t>
      </w:r>
      <w:r>
        <w:rPr/>
        <w:t xml:space="preserve">main function</w:t>
      </w:r>
      <w:r>
        <w:rPr/>
        <w:t xml:space="preserve"> </w:t>
      </w:r>
      <w:r>
        <w:rPr/>
        <w:t xml:space="preserve">will be to ensure that the project is focused throughout its life cycle on achieving its objectives and delivering outputs that will contribute to higher</w:t>
      </w:r>
      <w:r>
        <w:rPr/>
        <w:t xml:space="preserve">-</w:t>
      </w:r>
      <w:r>
        <w:rPr/>
        <w:t xml:space="preserve">level outcomes.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PSC will also have other national government and CSO representatives to help ensure that the project activities and implementation framework remains aligned with the interests of the beneficiaries</w:t>
      </w:r>
      <w:r>
        <w:rPr/>
        <w:t xml:space="preserve"> </w:t>
      </w:r>
      <w:r>
        <w:rPr/>
        <w:t xml:space="preserve">and stakeholders</w:t>
      </w:r>
      <w:r>
        <w:rPr/>
        <w:t xml:space="preserve"> </w:t>
      </w:r>
      <w:r>
        <w:rPr/>
        <w:t xml:space="preserve">including the electorate at large</w:t>
      </w:r>
      <w:r>
        <w:rPr/>
        <w:t xml:space="preserve">. </w:t>
      </w:r>
      <w:r>
        <w:rPr/>
        <w:t xml:space="preserve">Civil society can play</w:t>
      </w:r>
      <w:r>
        <w:rPr/>
        <w:t xml:space="preserve"> </w:t>
      </w:r>
      <w:r>
        <w:rPr/>
        <w:t xml:space="preserve">a critical role in quality assurance of voter education and representation of special interests, such as accessibility and disability issues.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PSC membership will comprise: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Co</w:t>
      </w:r>
      <w:r>
        <w:rPr/>
        <w:t xml:space="preserve">-</w:t>
      </w:r>
      <w:r>
        <w:rPr/>
        <w:t xml:space="preserve">Chairs:</w:t>
      </w:r>
      <w:r>
        <w:rPr/>
        <w:t xml:space="preserve"> </w:t>
      </w:r>
    </w:p>
    <w:p>
      <w:pPr>
        <w:pStyle w:val="normal"/>
        <w:numPr>
          <w:ilvl w:val="0"/>
          <w:numId w:val="16"/>
        </w:numPr>
        <w:spacing w:before="0" w:after="3" w:line="248" w:lineRule="auto"/>
        <w:ind w:left="720" w:right="754" w:hanging="360"/>
      </w:pPr>
      <w:r>
        <w:rPr/>
        <w:t xml:space="preserve">Chair of the NEC</w:t>
      </w:r>
      <w:r>
        <w:rPr/>
        <w:t xml:space="preserve"> </w:t>
      </w:r>
    </w:p>
    <w:p>
      <w:pPr>
        <w:pStyle w:val="normal"/>
        <w:numPr>
          <w:ilvl w:val="0"/>
          <w:numId w:val="16"/>
        </w:numPr>
        <w:spacing w:before="0" w:after="3" w:line="248" w:lineRule="auto"/>
        <w:ind w:left="720" w:right="754" w:hanging="360"/>
      </w:pPr>
      <w:r>
        <w:rPr/>
        <w:t xml:space="preserve">Chair of ZEC</w:t>
      </w:r>
      <w:r>
        <w:rPr/>
        <w:t xml:space="preserve"> </w:t>
      </w:r>
    </w:p>
    <w:p>
      <w:pPr>
        <w:pStyle w:val="normal"/>
        <w:numPr>
          <w:ilvl w:val="0"/>
          <w:numId w:val="16"/>
        </w:numPr>
        <w:spacing w:before="0" w:after="3" w:line="248" w:lineRule="auto"/>
        <w:ind w:left="720" w:right="754" w:hanging="360"/>
      </w:pPr>
      <w:r>
        <w:rPr/>
        <w:t xml:space="preserve">UN Resident Coordinator/UNDP Resident Representative</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Members:</w:t>
      </w:r>
      <w:r>
        <w:rPr/>
        <w:t xml:space="preserve"> </w:t>
      </w:r>
    </w:p>
    <w:p>
      <w:pPr>
        <w:pStyle w:val="normal"/>
        <w:numPr>
          <w:ilvl w:val="0"/>
          <w:numId w:val="17"/>
        </w:numPr>
        <w:spacing w:before="0" w:after="3" w:line="248" w:lineRule="auto"/>
        <w:ind w:left="720" w:right="754" w:hanging="360"/>
      </w:pPr>
      <w:r>
        <w:rPr/>
        <w:t xml:space="preserve">Chair of the Commission for Human Rights and Good Governance</w:t>
      </w:r>
      <w:r>
        <w:rPr/>
        <w:t xml:space="preserve"> </w:t>
      </w:r>
    </w:p>
    <w:p>
      <w:pPr>
        <w:pStyle w:val="normal"/>
        <w:numPr>
          <w:ilvl w:val="0"/>
          <w:numId w:val="17"/>
        </w:numPr>
        <w:spacing w:before="0" w:after="3" w:line="248" w:lineRule="auto"/>
        <w:ind w:left="720" w:right="754" w:hanging="360"/>
      </w:pPr>
      <w:r>
        <w:rPr/>
        <w:t xml:space="preserve">Representative of the</w:t>
      </w:r>
      <w:r>
        <w:rPr/>
        <w:t xml:space="preserve"> </w:t>
      </w:r>
      <w:r>
        <w:rPr/>
        <w:t xml:space="preserve">NGO Board of Tanzania</w:t>
      </w:r>
      <w:r>
        <w:rPr/>
        <w:t xml:space="preserve"> </w:t>
      </w:r>
      <w:r>
        <w:rPr/>
        <w:t xml:space="preserve">or relevant CSO umbrella organisation</w:t>
      </w:r>
      <w:r>
        <w:rPr/>
        <w:t xml:space="preserve"> </w:t>
      </w:r>
    </w:p>
    <w:p>
      <w:pPr>
        <w:pStyle w:val="normal"/>
        <w:numPr>
          <w:ilvl w:val="0"/>
          <w:numId w:val="17"/>
        </w:numPr>
        <w:spacing w:before="0" w:after="3" w:line="248" w:lineRule="auto"/>
        <w:ind w:left="720" w:right="754" w:hanging="360"/>
      </w:pPr>
      <w:r>
        <w:rPr/>
        <w:t xml:space="preserve">Representative of ZANGOC</w:t>
      </w:r>
      <w:r>
        <w:rPr/>
        <w:t xml:space="preserve"> </w:t>
      </w:r>
      <w:r>
        <w:rPr/>
        <w:t xml:space="preserve">or the Zanzibar relevant CSO umbrella organisation</w:t>
      </w:r>
      <w:r>
        <w:rPr/>
        <w:t xml:space="preserve"> </w:t>
      </w:r>
    </w:p>
    <w:p>
      <w:pPr>
        <w:pStyle w:val="normal"/>
        <w:numPr>
          <w:ilvl w:val="0"/>
          <w:numId w:val="17"/>
        </w:numPr>
        <w:spacing w:before="0" w:after="3" w:line="248" w:lineRule="auto"/>
        <w:ind w:left="720" w:right="754" w:hanging="360"/>
      </w:pPr>
      <w:r>
        <w:rPr/>
        <w:t xml:space="preserve">Chair of the Tanzania Centre for Democracy</w:t>
      </w:r>
      <w:r>
        <w:rPr/>
        <w:t xml:space="preserve"> </w:t>
      </w:r>
    </w:p>
    <w:p>
      <w:pPr>
        <w:pStyle w:val="normal"/>
        <w:numPr>
          <w:ilvl w:val="0"/>
          <w:numId w:val="17"/>
        </w:numPr>
        <w:spacing w:before="0" w:after="26" w:line="248" w:lineRule="auto"/>
        <w:ind w:left="720" w:right="754" w:hanging="360"/>
      </w:pPr>
      <w:r>
        <w:rPr/>
        <w:t xml:space="preserve">Representatives of the DPs (i.e. 4</w:t>
      </w:r>
      <w:r>
        <w:rPr/>
        <w:t xml:space="preserve"> </w:t>
      </w:r>
      <w:r>
        <w:rPr/>
        <w:t xml:space="preserve">Heads of Mission to be elected by DPs contributing to the JDBF)</w:t>
      </w:r>
      <w:r>
        <w:rPr/>
        <w:t xml:space="preserve"> </w:t>
      </w:r>
    </w:p>
    <w:p>
      <w:pPr>
        <w:pStyle w:val="normal"/>
        <w:numPr>
          <w:ilvl w:val="0"/>
          <w:numId w:val="17"/>
        </w:numPr>
        <w:spacing w:before="0" w:after="3" w:line="248" w:lineRule="auto"/>
        <w:ind w:left="720" w:right="754" w:hanging="360"/>
      </w:pPr>
      <w:r>
        <w:rPr/>
        <w:t xml:space="preserve">Representative of World Council for Religion and Peace</w:t>
      </w:r>
      <w:r>
        <w:rPr/>
        <w:t xml:space="preserve"> </w:t>
      </w:r>
      <w:r>
        <w:rPr/>
        <w:t xml:space="preserve">(to be discussed</w:t>
      </w:r>
      <w:r>
        <w:rPr/>
        <w:t xml:space="preserve">) </w:t>
      </w:r>
    </w:p>
    <w:p>
      <w:pPr>
        <w:pStyle w:val="normal"/>
        <w:numPr>
          <w:ilvl w:val="0"/>
          <w:numId w:val="17"/>
        </w:numPr>
        <w:spacing w:before="0" w:after="3" w:line="248" w:lineRule="auto"/>
        <w:ind w:left="720" w:right="754" w:hanging="360"/>
      </w:pPr>
      <w:r>
        <w:rPr/>
        <w:t xml:space="preserve">Representative</w:t>
      </w:r>
      <w:r>
        <w:rPr/>
        <w:t xml:space="preserve"> </w:t>
      </w:r>
      <w:r>
        <w:rPr/>
        <w:t xml:space="preserve">of PWDs </w:t>
      </w:r>
      <w:r>
        <w:rPr/>
        <w:t xml:space="preserve"> </w:t>
      </w:r>
    </w:p>
    <w:p>
      <w:pPr>
        <w:pStyle w:val="normal"/>
        <w:numPr>
          <w:ilvl w:val="0"/>
          <w:numId w:val="17"/>
        </w:numPr>
        <w:spacing w:before="0" w:after="3" w:line="248" w:lineRule="auto"/>
        <w:ind w:left="720" w:right="754" w:hanging="360"/>
      </w:pPr>
      <w:r>
        <w:rPr/>
        <w:t xml:space="preserve">Representative of Media</w:t>
      </w:r>
      <w:r>
        <w:rPr/>
        <w:t xml:space="preserve"> </w:t>
      </w:r>
    </w:p>
    <w:p>
      <w:pPr>
        <w:pStyle w:val="normal"/>
        <w:numPr>
          <w:ilvl w:val="0"/>
          <w:numId w:val="17"/>
        </w:numPr>
        <w:spacing w:before="0" w:after="3" w:line="248" w:lineRule="auto"/>
        <w:ind w:left="720" w:right="754" w:hanging="360"/>
      </w:pPr>
      <w:r>
        <w:rPr/>
        <w:t xml:space="preserve">Representative of the Tanzania Police Force </w:t>
      </w:r>
      <w:r>
        <w:rPr/>
        <w:t xml:space="preserve"> </w:t>
      </w:r>
    </w:p>
    <w:p>
      <w:pPr>
        <w:pStyle w:val="normal"/>
        <w:numPr>
          <w:ilvl w:val="0"/>
          <w:numId w:val="17"/>
        </w:numPr>
        <w:spacing w:before="0" w:after="3" w:line="248" w:lineRule="auto"/>
        <w:ind w:left="720" w:right="754" w:hanging="360"/>
      </w:pPr>
      <w:r>
        <w:rPr/>
        <w:t xml:space="preserve">Representative of Youth</w:t>
      </w:r>
      <w:r>
        <w:rPr/>
        <w:t xml:space="preserve">  </w:t>
      </w:r>
    </w:p>
    <w:p>
      <w:pPr>
        <w:pStyle w:val="normal"/>
        <w:numPr>
          <w:ilvl w:val="0"/>
          <w:numId w:val="17"/>
        </w:numPr>
        <w:spacing w:before="0" w:after="3" w:line="248" w:lineRule="auto"/>
        <w:ind w:left="720" w:right="754" w:hanging="360"/>
      </w:pPr>
      <w:r>
        <w:rPr/>
        <w:t xml:space="preserve">Representative of UNESCO</w:t>
      </w:r>
      <w:r>
        <w:rPr/>
        <w:t xml:space="preserve"> </w:t>
      </w:r>
    </w:p>
    <w:p>
      <w:pPr>
        <w:pStyle w:val="normal"/>
        <w:numPr>
          <w:ilvl w:val="0"/>
          <w:numId w:val="17"/>
        </w:numPr>
        <w:spacing w:before="0" w:after="3" w:line="248" w:lineRule="auto"/>
        <w:ind w:left="720" w:right="754" w:hanging="360"/>
      </w:pPr>
      <w:r>
        <w:rPr/>
        <w:t xml:space="preserve">Representative of UN WOMEN</w:t>
      </w:r>
      <w:r>
        <w:rPr/>
        <w:t xml:space="preserve"> </w:t>
      </w:r>
    </w:p>
    <w:p>
      <w:pPr>
        <w:pStyle w:val="normal"/>
        <w:numPr>
          <w:ilvl w:val="0"/>
          <w:numId w:val="17"/>
        </w:numPr>
        <w:spacing w:before="0" w:after="3" w:line="248" w:lineRule="auto"/>
        <w:ind w:left="720" w:right="754" w:hanging="360"/>
      </w:pPr>
      <w:r>
        <w:rPr/>
        <w:t xml:space="preserve">Registrar of Political Parties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total membership to the steering committee should not exceed 20. Development Partners (DP’s) play a key role in electoral assistance in general and in DEP.</w:t>
      </w:r>
      <w:r>
        <w:rPr/>
        <w:t xml:space="preserve"> </w:t>
      </w:r>
      <w:r>
        <w:rPr/>
        <w:t xml:space="preserve">They provide critical funding of</w:t>
      </w:r>
      <w:r>
        <w:rPr/>
        <w:t xml:space="preserve"> </w:t>
      </w:r>
      <w:r>
        <w:rPr/>
        <w:t xml:space="preserve">electoral assistance, in the context of Tanzania</w:t>
      </w:r>
      <w:r>
        <w:rPr/>
        <w:t xml:space="preserve"> </w:t>
      </w:r>
      <w:r>
        <w:rPr/>
        <w:t xml:space="preserve">they</w:t>
      </w:r>
      <w:r>
        <w:rPr/>
        <w:t xml:space="preserve"> </w:t>
      </w:r>
      <w:r>
        <w:rPr/>
        <w:t xml:space="preserve">undertake election support outside the JDBF and therefore giving them adequate representation on the DEP PSC will ensure strong linkages and coordination with</w:t>
      </w:r>
      <w:r>
        <w:rPr/>
        <w:t xml:space="preserve"> </w:t>
      </w:r>
      <w:r>
        <w:rPr/>
        <w:t xml:space="preserve">parallel electoral support initiatives.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PSC will meet once every sixth months</w:t>
      </w:r>
      <w:r>
        <w:rPr/>
        <w:t xml:space="preserve">, </w:t>
      </w:r>
      <w:r>
        <w:rPr/>
        <w:t xml:space="preserve">or as deemed necessary by the members. More frequent</w:t>
      </w:r>
      <w:r>
        <w:rPr/>
        <w:t xml:space="preserve"> </w:t>
      </w:r>
      <w:r>
        <w:rPr/>
        <w:t xml:space="preserve">meetings are expected closer to the electoral events. Under the stewardship of the Co</w:t>
      </w:r>
      <w:r>
        <w:rPr/>
        <w:t xml:space="preserve">-</w:t>
      </w:r>
      <w:r>
        <w:rPr/>
        <w:t xml:space="preserve">chairs the meetings will be held for the purpose of addressing emergent issues critical to the performance and progress of project, and matters of financial management.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 through the PMT</w:t>
      </w:r>
      <w:r>
        <w:rPr/>
        <w:t xml:space="preserve"> </w:t>
      </w:r>
      <w:r>
        <w:rPr/>
        <w:t xml:space="preserve">will provide secretariat services to</w:t>
      </w:r>
      <w:r>
        <w:rPr/>
        <w:t xml:space="preserve"> </w:t>
      </w:r>
      <w:r>
        <w:rPr/>
        <w:t xml:space="preserve">the PSC.</w:t>
      </w:r>
      <w:r>
        <w:rPr/>
        <w:t xml:space="preserve"> </w:t>
      </w:r>
    </w:p>
    <w:p>
      <w:pPr>
        <w:spacing w:before="0" w:after="0" w:line="259" w:lineRule="auto"/>
        <w:ind w:left="0" w:right="0" w:firstLine="0"/>
        <w:jc w:val="left"/>
      </w:pPr>
      <w:r>
        <w:rPr/>
        <w:t xml:space="preserve"> </w:t>
      </w:r>
    </w:p>
    <w:p>
      <w:pPr>
        <w:pStyle w:val="heading5"/>
        <w:spacing w:before="0" w:after="9" w:line="249" w:lineRule="auto"/>
        <w:ind w:left="-5"/>
      </w:pPr>
      <w:r>
        <w:rPr/>
        <w:t xml:space="preserve">F.</w:t>
      </w:r>
      <w:r>
        <w:rPr/>
        <w:t xml:space="preserve">4</w:t>
      </w:r>
      <w:r>
        <w:rPr/>
        <w:t xml:space="preserve"> </w:t>
      </w:r>
      <w:r>
        <w:rPr/>
        <w:t xml:space="preserve">Technical Management</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Two Technical Committees (TCs)</w:t>
      </w:r>
      <w:r>
        <w:rPr>
          <w:vertAlign w:val="superscript"/>
        </w:rPr>
        <w:footnoteReference w:id="112"/>
      </w:r>
      <w:r>
        <w:rPr/>
        <w:t xml:space="preserve"> </w:t>
      </w:r>
      <w:r>
        <w:rPr/>
        <w:t xml:space="preserve">will be established to provide technical and advisory support to project planning and implementation. In particular, the TCs will review progress updates from the various project component areas and suggest areas that need immediate correction/action by PMT. The TCs may also raise issues that require guidance from and deliberation by the PSC.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Membership of the TCs will comprise representatives of implementing partners either at managerial or technical level, notably NEC, ZEC, CSOs, RPP, Funding Partners, DPs, UNESCO, UN Women and UNDP. The total</w:t>
      </w:r>
      <w:r>
        <w:rPr/>
        <w:t xml:space="preserve"> </w:t>
      </w:r>
      <w:r>
        <w:rPr/>
        <w:t xml:space="preserve">number should not exceed 9 members to ensure efficiency.  The TC will be co</w:t>
      </w:r>
      <w:r>
        <w:rPr/>
        <w:t xml:space="preserve"/>
      </w:r>
      <w:r>
        <w:rPr/>
        <w:t xml:space="preserve">chaired by the UNDP Country Director and the Director of NEC/ZEC for the respective TCs.  The Project Manager will be an ex</w:t>
      </w:r>
      <w:r>
        <w:rPr/>
        <w:t xml:space="preserve">-</w:t>
      </w:r>
      <w:r>
        <w:rPr/>
        <w:t xml:space="preserve">officio member of the TCs. The funding partners will divide themselves between the two TC’s on equal basis where practicable. The PMU will provide secretariat services to the TCs. The Technical Committees will convene in Dar es Salaam and Zanzibar, respectively. The two TCs may join their meetings periodically</w:t>
      </w:r>
      <w:r>
        <w:rPr/>
        <w:t xml:space="preserve"> </w:t>
      </w:r>
      <w:r>
        <w:rPr/>
        <w:t xml:space="preserve">if so warranted. The TCs will meet once every three months as the need arises.</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As part of implementation activities and voter education activities, a stakeholder forum may be convened at the inception of</w:t>
      </w:r>
      <w:r>
        <w:rPr/>
        <w:t xml:space="preserve"> </w:t>
      </w:r>
      <w:r>
        <w:rPr/>
        <w:t xml:space="preserve">the project and also at the close of the project</w:t>
      </w:r>
      <w:r>
        <w:rPr/>
        <w:t xml:space="preserve">. </w:t>
      </w:r>
      <w:r>
        <w:rPr/>
        <w:t xml:space="preserve">This forum will bring together all the</w:t>
      </w:r>
      <w:r>
        <w:rPr/>
        <w:t xml:space="preserve"> </w:t>
      </w:r>
      <w:r>
        <w:rPr/>
        <w:t xml:space="preserve">stakeholders in the electoral process, i.e.</w:t>
      </w:r>
      <w:r>
        <w:rPr/>
        <w:t xml:space="preserve"> </w:t>
      </w:r>
      <w:r>
        <w:rPr/>
        <w:t xml:space="preserve">EMBs, CSOs, Political Parties, Media</w:t>
      </w:r>
      <w:r>
        <w:rPr/>
        <w:t xml:space="preserve"> </w:t>
      </w:r>
      <w:r>
        <w:rPr/>
        <w:t xml:space="preserve">to discuss and input into the planning phase of the project.  During the inception session the stakeholders will be encouraged to form </w:t>
      </w:r>
      <w:r>
        <w:rPr/>
        <w:t xml:space="preserve">o</w:t>
      </w:r>
      <w:r>
        <w:rPr/>
        <w:t xml:space="preserve">wn working groups to discuss practical ways for the project to achieve its objectives and meet stakeholder expectations. The same dialogue will be held during or/and at</w:t>
      </w:r>
      <w:r>
        <w:rPr/>
        <w:t xml:space="preserve"> </w:t>
      </w:r>
      <w:r>
        <w:rPr/>
        <w:t xml:space="preserve">the end of the project to assess if the project met its objectives and how to improve the implementation of similar projects in the future.  The recommendations from these forums will be submitted to the TC and PSC by the relevant</w:t>
      </w:r>
      <w:r>
        <w:rPr/>
        <w:t xml:space="preserve"> </w:t>
      </w:r>
      <w:r>
        <w:rPr/>
        <w:t xml:space="preserve">stakeholder representatives for implementation where practicable.</w:t>
      </w:r>
      <w:r>
        <w:rPr/>
        <w:t xml:space="preserve"> </w:t>
      </w:r>
    </w:p>
    <w:p>
      <w:pPr>
        <w:spacing w:before="0" w:after="44" w:line="259" w:lineRule="auto"/>
        <w:ind w:left="0" w:right="0" w:firstLine="0"/>
        <w:jc w:val="left"/>
      </w:pPr>
      <w:r>
        <w:rPr/>
        <w:t xml:space="preserve"> </w:t>
      </w:r>
    </w:p>
    <w:p>
      <w:pPr>
        <w:pStyle w:val="heading2"/>
        <w:tabs>
          <w:tab w:val="center" w:pos="1543"/>
        </w:tabs>
        <w:spacing w:before="0" w:after="9" w:line="249" w:lineRule="auto"/>
        <w:ind w:left="-15" w:firstLine="0"/>
      </w:pPr>
      <w:r>
        <w:rPr/>
        <w:t xml:space="preserve">F</w:t>
      </w:r>
      <w:r>
        <w:rPr/>
        <w:t xml:space="preserve">.5</w:t>
      </w:r>
      <w:r>
        <w:rPr/>
        <w:t xml:space="preserve"> 	</w:t>
      </w:r>
      <w:r>
        <w:rPr/>
        <w:t xml:space="preserve">Project</w:t>
      </w:r>
      <w:r>
        <w:rPr>
          <w:sz w:val="32"/>
        </w:rPr>
        <w:t xml:space="preserve"> </w:t>
      </w:r>
      <w:r>
        <w:rPr/>
        <w:t xml:space="preserve">Assurance</w:t>
      </w:r>
      <w:r>
        <w:rPr>
          <w:sz w:val="32"/>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Project Assurance is the responsibility of each member of the PSC; however the role can be delegated.  The Project Assurance role supports the PMT</w:t>
      </w:r>
      <w:r>
        <w:rPr/>
        <w:t xml:space="preserve"> </w:t>
      </w:r>
      <w:r>
        <w:rPr/>
        <w:t xml:space="preserve">by carrying out objective and independent project oversight and monitoring functions.  This role ensures appropriate project management milestones are managed and completed. The PSC cannot delegate any of its assurance responsibilities to the Project Manager or any other project staff.   For UNDP the Project Assurance role will be assigned to the UNDP</w:t>
      </w:r>
      <w:r>
        <w:rPr/>
        <w:t xml:space="preserve"> </w:t>
      </w:r>
      <w:r>
        <w:rPr/>
        <w:t xml:space="preserve">governance practice specialist</w:t>
      </w:r>
      <w:r>
        <w:rPr/>
        <w:t xml:space="preserve">. </w:t>
      </w:r>
      <w:r>
        <w:rPr/>
        <w:t xml:space="preserve"> </w:t>
      </w:r>
      <w:r>
        <w:rPr/>
        <w:t xml:space="preserve">He or she ensures that project management milestones are managed and completed; identifies matters under the jurisdiction of </w:t>
      </w:r>
      <w:r>
        <w:rPr/>
        <w:t xml:space="preserve">the PSC, UNDP Senior Management and PMT</w:t>
      </w:r>
      <w:r>
        <w:rPr/>
        <w:t xml:space="preserve"> </w:t>
      </w:r>
      <w:r>
        <w:rPr/>
        <w:t xml:space="preserve">and refer them accordingly; and provides policy guidance to the PSC and TCs</w:t>
      </w:r>
      <w:r>
        <w:rPr/>
        <w:t xml:space="preserve">.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main responsibilities of Project Assurance  include the maintenance of effective liaison and communication between the PSC and other project structures; beneficiary needs and expectations are effectively managed; risks are controlled; the project remains viable;</w:t>
      </w:r>
      <w:r>
        <w:rPr/>
        <w:t xml:space="preserve"> </w:t>
      </w:r>
      <w:r>
        <w:rPr/>
        <w:t xml:space="preserve">internal and external communications are working; applicable UNDP rules and regulations are being observed; monitoring and reporting requirements and standards are adhered to; quality management procedures are properly followed; and PSC decisions are followed and revisions are managed in line with the required procedures.</w:t>
      </w:r>
      <w:r>
        <w:rPr/>
        <w:t xml:space="preserve"> </w:t>
      </w:r>
      <w:r>
        <w:br w:type="page"/>
      </w:r>
    </w:p>
    <w:p>
      <w:pPr>
        <w:spacing w:before="0" w:after="0" w:line="259" w:lineRule="auto"/>
        <w:ind w:left="-864" w:right="-53" w:firstLine="0"/>
        <w:jc w:val="left"/>
      </w:pPr>
      <w:r>
        <w:rPr>
          <w:rFonts w:cs="Calibri" w:hAnsi="Calibri" w:eastAsia="Calibri" w:ascii="Calibri"/>
          <w:sz w:val="22"/>
        </w:rPr>
        <w:drawing>
          <wp:inline distT="0" distB="0" distL="0" distR="0">
            <wp:extent cx="6800850" cy="5889499"/>
            <wp:docPr id="118584" name="Group 118584"/>
            <wp:cNvGraphicFramePr/>
            <a:graphic>
              <a:graphicData uri="http://schemas.microsoft.com/office/word/2010/wordprocessingGroup">
                <wpg:wgp>
                  <wpg:cNvGrpSpPr/>
                  <wpg:grpSpPr>
                    <a:xfrm>
                      <a:off x="0" y="0"/>
                      <a:ext cx="6800850" cy="5889499"/>
                      <a:chOff x="0" y="0"/>
                      <a:chExt cx="6800850" cy="5889499"/>
                    </a:xfrm>
                  </wpg:grpSpPr>
                  <wps:wsp>
                    <wps:cNvPr id="6020" name="Rectangle 6020"/>
                    <wps:cNvSpPr/>
                    <wps:spPr>
                      <a:xfrm>
                        <a:off x="548945" y="0"/>
                        <a:ext cx="99206" cy="189937"/>
                      </a:xfrm>
                      <a:prstGeom prst="rect">
                        <a:avLst/>
                      </a:prstGeom>
                      <a:ln>
                        <a:noFill/>
                      </a:ln>
                    </wps:spPr>
                    <wps:txbx>
                      <w:txbxContent>
                        <w:p>
                          <w:pPr>
                            <w:spacing w:before="0" w:after="160" w:line="259" w:lineRule="auto"/>
                            <w:ind w:left="0" w:right="0" w:firstLine="0"/>
                            <w:jc w:val="left"/>
                          </w:pPr>
                          <w:r>
                            <w:rPr>
                              <w:rFonts w:cs="Calibri" w:hAnsi="Calibri" w:eastAsia="Calibri" w:ascii="Calibri"/>
                              <w:b w:val="1"/>
                            </w:rPr>
                            <w:t xml:space="preserve">P</w:t>
                          </w:r>
                        </w:p>
                      </w:txbxContent>
                    </wps:txbx>
                    <wps:bodyPr horzOverflow="overflow" rtlCol="0" vert="horz" lIns="0" tIns="0" rIns="0" bIns="0">
                      <a:noAutofit/>
                    </wps:bodyPr>
                  </wps:wsp>
                  <wps:wsp>
                    <wps:cNvPr id="6021" name="Rectangle 6021"/>
                    <wps:cNvSpPr/>
                    <wps:spPr>
                      <a:xfrm>
                        <a:off x="623621" y="0"/>
                        <a:ext cx="2984000" cy="189937"/>
                      </a:xfrm>
                      <a:prstGeom prst="rect">
                        <a:avLst/>
                      </a:prstGeom>
                      <a:ln>
                        <a:noFill/>
                      </a:ln>
                    </wps:spPr>
                    <wps:txbx>
                      <w:txbxContent>
                        <w:p>
                          <w:pPr>
                            <w:spacing w:before="0" w:after="160" w:line="259" w:lineRule="auto"/>
                            <w:ind w:left="0" w:right="0" w:firstLine="0"/>
                            <w:jc w:val="left"/>
                          </w:pPr>
                          <w:r>
                            <w:rPr>
                              <w:rFonts w:cs="Calibri" w:hAnsi="Calibri" w:eastAsia="Calibri" w:ascii="Calibri"/>
                              <w:b w:val="1"/>
                            </w:rPr>
                            <w:t xml:space="preserve">ROJECT ORGANISATIONAL STRUCTURE</w:t>
                          </w:r>
                        </w:p>
                      </w:txbxContent>
                    </wps:txbx>
                    <wps:bodyPr horzOverflow="overflow" rtlCol="0" vert="horz" lIns="0" tIns="0" rIns="0" bIns="0">
                      <a:noAutofit/>
                    </wps:bodyPr>
                  </wps:wsp>
                  <wps:wsp>
                    <wps:cNvPr id="6022" name="Rectangle 6022"/>
                    <wps:cNvSpPr/>
                    <wps:spPr>
                      <a:xfrm>
                        <a:off x="2867279" y="0"/>
                        <a:ext cx="42143" cy="189937"/>
                      </a:xfrm>
                      <a:prstGeom prst="rect">
                        <a:avLst/>
                      </a:prstGeom>
                      <a:ln>
                        <a:noFill/>
                      </a:ln>
                    </wps:spPr>
                    <wps:txbx>
                      <w:txbxContent>
                        <w:p>
                          <w:pPr>
                            <w:spacing w:before="0" w:after="160" w:line="259" w:lineRule="auto"/>
                            <w:ind w:left="0" w:right="0" w:firstLine="0"/>
                            <w:jc w:val="left"/>
                          </w:pPr>
                          <w:r>
                            <w:rPr>
                              <w:rFonts w:cs="Calibri" w:hAnsi="Calibri" w:eastAsia="Calibri" w:ascii="Calibri"/>
                              <w:b w:val="1"/>
                            </w:rPr>
                            <w:t xml:space="preserve"> </w:t>
                          </w:r>
                        </w:p>
                      </w:txbxContent>
                    </wps:txbx>
                    <wps:bodyPr horzOverflow="overflow" rtlCol="0" vert="horz" lIns="0" tIns="0" rIns="0" bIns="0">
                      <a:noAutofit/>
                    </wps:bodyPr>
                  </wps:wsp>
                  <wps:wsp>
                    <wps:cNvPr id="6023" name="Rectangle 6023"/>
                    <wps:cNvSpPr/>
                    <wps:spPr>
                      <a:xfrm>
                        <a:off x="68580" y="175261"/>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24" name="Rectangle 6024"/>
                    <wps:cNvSpPr/>
                    <wps:spPr>
                      <a:xfrm>
                        <a:off x="68580" y="361189"/>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25" name="Rectangle 6025"/>
                    <wps:cNvSpPr/>
                    <wps:spPr>
                      <a:xfrm>
                        <a:off x="548945" y="547116"/>
                        <a:ext cx="45808" cy="206453"/>
                      </a:xfrm>
                      <a:prstGeom prst="rect">
                        <a:avLst/>
                      </a:prstGeom>
                      <a:ln>
                        <a:noFill/>
                      </a:ln>
                    </wps:spPr>
                    <wps:txbx>
                      <w:txbxContent>
                        <w:p>
                          <w:pPr>
                            <w:spacing w:before="0" w:after="160" w:line="259" w:lineRule="auto"/>
                            <w:ind w:left="0" w:right="0" w:firstLine="0"/>
                            <w:jc w:val="left"/>
                          </w:pPr>
                          <w:r>
                            <w:rPr>
                              <w:sz w:val="24"/>
                            </w:rPr>
                            <w:t xml:space="preserve"> </w:t>
                          </w:r>
                        </w:p>
                      </w:txbxContent>
                    </wps:txbx>
                    <wps:bodyPr horzOverflow="overflow" rtlCol="0" vert="horz" lIns="0" tIns="0" rIns="0" bIns="0">
                      <a:noAutofit/>
                    </wps:bodyPr>
                  </wps:wsp>
                  <wps:wsp>
                    <wps:cNvPr id="6026" name="Rectangle 6026"/>
                    <wps:cNvSpPr/>
                    <wps:spPr>
                      <a:xfrm>
                        <a:off x="4647565" y="2383917"/>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i w:val="1"/>
                              <w:sz w:val="24"/>
                            </w:rPr>
                            <w:t xml:space="preserve"> </w:t>
                          </w:r>
                        </w:p>
                      </w:txbxContent>
                    </wps:txbx>
                    <wps:bodyPr horzOverflow="overflow" rtlCol="0" vert="horz" lIns="0" tIns="0" rIns="0" bIns="0">
                      <a:noAutofit/>
                    </wps:bodyPr>
                  </wps:wsp>
                  <wps:wsp>
                    <wps:cNvPr id="6027" name="Rectangle 6027"/>
                    <wps:cNvSpPr/>
                    <wps:spPr>
                      <a:xfrm>
                        <a:off x="548945" y="2528698"/>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i w:val="1"/>
                              <w:sz w:val="24"/>
                            </w:rPr>
                            <w:t xml:space="preserve"> </w:t>
                          </w:r>
                        </w:p>
                      </w:txbxContent>
                    </wps:txbx>
                    <wps:bodyPr horzOverflow="overflow" rtlCol="0" vert="horz" lIns="0" tIns="0" rIns="0" bIns="0">
                      <a:noAutofit/>
                    </wps:bodyPr>
                  </wps:wsp>
                  <wps:wsp>
                    <wps:cNvPr id="6028" name="Rectangle 6028"/>
                    <wps:cNvSpPr/>
                    <wps:spPr>
                      <a:xfrm>
                        <a:off x="548945" y="2714626"/>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29" name="Rectangle 6029"/>
                    <wps:cNvSpPr/>
                    <wps:spPr>
                      <a:xfrm>
                        <a:off x="548945" y="2900554"/>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30" name="Rectangle 6030"/>
                    <wps:cNvSpPr/>
                    <wps:spPr>
                      <a:xfrm>
                        <a:off x="548945" y="3086481"/>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31" name="Rectangle 6031"/>
                    <wps:cNvSpPr/>
                    <wps:spPr>
                      <a:xfrm>
                        <a:off x="548945" y="3272410"/>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32" name="Rectangle 6032"/>
                    <wps:cNvSpPr/>
                    <wps:spPr>
                      <a:xfrm>
                        <a:off x="548945" y="3458338"/>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33" name="Rectangle 6033"/>
                    <wps:cNvSpPr/>
                    <wps:spPr>
                      <a:xfrm>
                        <a:off x="548945" y="3644266"/>
                        <a:ext cx="45808" cy="206453"/>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24"/>
                            </w:rPr>
                            <w:t xml:space="preserve"> </w:t>
                          </w:r>
                        </w:p>
                      </w:txbxContent>
                    </wps:txbx>
                    <wps:bodyPr horzOverflow="overflow" rtlCol="0" vert="horz" lIns="0" tIns="0" rIns="0" bIns="0">
                      <a:noAutofit/>
                    </wps:bodyPr>
                  </wps:wsp>
                  <wps:wsp>
                    <wps:cNvPr id="6034" name="Shape 6034"/>
                    <wps:cNvSpPr/>
                    <wps:spPr>
                      <a:xfrm>
                        <a:off x="3368040" y="3986404"/>
                        <a:ext cx="76200" cy="200025"/>
                      </a:xfrm>
                      <a:custGeom>
                        <a:pathLst>
                          <a:path w="76200" h="200025">
                            <a:moveTo>
                              <a:pt x="38100" y="0"/>
                            </a:moveTo>
                            <a:cubicBezTo>
                              <a:pt x="41656" y="0"/>
                              <a:pt x="44450" y="2794"/>
                              <a:pt x="44450" y="6350"/>
                            </a:cubicBezTo>
                            <a:lnTo>
                              <a:pt x="44450" y="123825"/>
                            </a:lnTo>
                            <a:lnTo>
                              <a:pt x="76200" y="123825"/>
                            </a:lnTo>
                            <a:lnTo>
                              <a:pt x="38100" y="200025"/>
                            </a:lnTo>
                            <a:lnTo>
                              <a:pt x="0" y="123825"/>
                            </a:lnTo>
                            <a:lnTo>
                              <a:pt x="31750" y="123825"/>
                            </a:lnTo>
                            <a:lnTo>
                              <a:pt x="31750" y="6350"/>
                            </a:lnTo>
                            <a:cubicBezTo>
                              <a:pt x="31750" y="2794"/>
                              <a:pt x="34544" y="0"/>
                              <a:pt x="38100" y="0"/>
                            </a:cubicBezTo>
                            <a:close/>
                          </a:path>
                        </a:pathLst>
                      </a:custGeom>
                      <a:ln w="0" cap="flat">
                        <a:miter lim="127000"/>
                      </a:ln>
                    </wps:spPr>
                    <wps:style>
                      <a:lnRef idx="0">
                        <a:srgbClr val="000000">
                          <a:alpha val="0"/>
                        </a:srgbClr>
                      </a:lnRef>
                      <a:fillRef idx="1">
                        <a:srgbClr val="000000"/>
                      </a:fillRef>
                      <a:effectRef idx="0"/>
                      <a:fontRef idx="none"/>
                    </wps:style>
                    <wps:bodyPr/>
                  </wps:wsp>
                  <wps:wsp>
                    <wps:cNvPr id="6035" name="Shape 6035"/>
                    <wps:cNvSpPr/>
                    <wps:spPr>
                      <a:xfrm>
                        <a:off x="2239010" y="4186429"/>
                        <a:ext cx="635" cy="117475"/>
                      </a:xfrm>
                      <a:custGeom>
                        <a:pathLst>
                          <a:path w="635" h="117475">
                            <a:moveTo>
                              <a:pt x="0" y="0"/>
                            </a:moveTo>
                            <a:lnTo>
                              <a:pt x="635" y="117475"/>
                            </a:lnTo>
                          </a:path>
                        </a:pathLst>
                      </a:custGeom>
                      <a:ln w="9525" cap="rnd">
                        <a:round/>
                      </a:ln>
                    </wps:spPr>
                    <wps:style>
                      <a:lnRef idx="1">
                        <a:srgbClr val="000000"/>
                      </a:lnRef>
                      <a:fillRef idx="0">
                        <a:srgbClr val="000000">
                          <a:alpha val="0"/>
                        </a:srgbClr>
                      </a:fillRef>
                      <a:effectRef idx="0"/>
                      <a:fontRef idx="none"/>
                    </wps:style>
                    <wps:bodyPr/>
                  </wps:wsp>
                  <wps:wsp>
                    <wps:cNvPr id="6036" name="Shape 6036"/>
                    <wps:cNvSpPr/>
                    <wps:spPr>
                      <a:xfrm>
                        <a:off x="589915" y="4186429"/>
                        <a:ext cx="5694681" cy="0"/>
                      </a:xfrm>
                      <a:custGeom>
                        <a:pathLst>
                          <a:path w="5694681" h="0">
                            <a:moveTo>
                              <a:pt x="0" y="0"/>
                            </a:moveTo>
                            <a:lnTo>
                              <a:pt x="5694681" y="0"/>
                            </a:lnTo>
                          </a:path>
                        </a:pathLst>
                      </a:custGeom>
                      <a:ln w="9525" cap="rnd">
                        <a:round/>
                      </a:ln>
                    </wps:spPr>
                    <wps:style>
                      <a:lnRef idx="1">
                        <a:srgbClr val="000000"/>
                      </a:lnRef>
                      <a:fillRef idx="0">
                        <a:srgbClr val="000000">
                          <a:alpha val="0"/>
                        </a:srgbClr>
                      </a:fillRef>
                      <a:effectRef idx="0"/>
                      <a:fontRef idx="none"/>
                    </wps:style>
                    <wps:bodyPr/>
                  </wps:wsp>
                  <wps:wsp>
                    <wps:cNvPr id="6037" name="Shape 6037"/>
                    <wps:cNvSpPr/>
                    <wps:spPr>
                      <a:xfrm>
                        <a:off x="3368040" y="767589"/>
                        <a:ext cx="76200" cy="631190"/>
                      </a:xfrm>
                      <a:custGeom>
                        <a:pathLst>
                          <a:path w="76200" h="631190">
                            <a:moveTo>
                              <a:pt x="38100" y="0"/>
                            </a:moveTo>
                            <a:cubicBezTo>
                              <a:pt x="41656" y="0"/>
                              <a:pt x="44450" y="2794"/>
                              <a:pt x="44450" y="6350"/>
                            </a:cubicBezTo>
                            <a:lnTo>
                              <a:pt x="44450" y="554990"/>
                            </a:lnTo>
                            <a:lnTo>
                              <a:pt x="76200" y="554990"/>
                            </a:lnTo>
                            <a:lnTo>
                              <a:pt x="38100" y="631190"/>
                            </a:lnTo>
                            <a:lnTo>
                              <a:pt x="0" y="554990"/>
                            </a:lnTo>
                            <a:lnTo>
                              <a:pt x="31750" y="554990"/>
                            </a:lnTo>
                            <a:lnTo>
                              <a:pt x="31750" y="6350"/>
                            </a:lnTo>
                            <a:cubicBezTo>
                              <a:pt x="31750" y="2794"/>
                              <a:pt x="34544" y="0"/>
                              <a:pt x="38100" y="0"/>
                            </a:cubicBezTo>
                            <a:close/>
                          </a:path>
                        </a:pathLst>
                      </a:custGeom>
                      <a:ln w="0" cap="rnd">
                        <a:round/>
                      </a:ln>
                    </wps:spPr>
                    <wps:style>
                      <a:lnRef idx="0">
                        <a:srgbClr val="000000">
                          <a:alpha val="0"/>
                        </a:srgbClr>
                      </a:lnRef>
                      <a:fillRef idx="1">
                        <a:srgbClr val="000000"/>
                      </a:fillRef>
                      <a:effectRef idx="0"/>
                      <a:fontRef idx="none"/>
                    </wps:style>
                    <wps:bodyPr/>
                  </wps:wsp>
                  <wps:wsp>
                    <wps:cNvPr id="6038" name="Shape 6038"/>
                    <wps:cNvSpPr/>
                    <wps:spPr>
                      <a:xfrm>
                        <a:off x="923290" y="2537334"/>
                        <a:ext cx="1339215" cy="76200"/>
                      </a:xfrm>
                      <a:custGeom>
                        <a:pathLst>
                          <a:path w="1339215" h="76200">
                            <a:moveTo>
                              <a:pt x="1263015" y="0"/>
                            </a:moveTo>
                            <a:lnTo>
                              <a:pt x="1339215" y="38100"/>
                            </a:lnTo>
                            <a:lnTo>
                              <a:pt x="1263015" y="76200"/>
                            </a:lnTo>
                            <a:lnTo>
                              <a:pt x="1263015" y="44450"/>
                            </a:lnTo>
                            <a:lnTo>
                              <a:pt x="6350" y="44450"/>
                            </a:lnTo>
                            <a:cubicBezTo>
                              <a:pt x="2794" y="44450"/>
                              <a:pt x="0" y="41656"/>
                              <a:pt x="0" y="38100"/>
                            </a:cubicBezTo>
                            <a:cubicBezTo>
                              <a:pt x="0" y="34544"/>
                              <a:pt x="2794" y="31750"/>
                              <a:pt x="6350" y="31750"/>
                            </a:cubicBezTo>
                            <a:lnTo>
                              <a:pt x="1263015" y="31750"/>
                            </a:lnTo>
                            <a:lnTo>
                              <a:pt x="1263015" y="0"/>
                            </a:lnTo>
                            <a:close/>
                          </a:path>
                        </a:pathLst>
                      </a:custGeom>
                      <a:ln w="0" cap="rnd">
                        <a:round/>
                      </a:ln>
                    </wps:spPr>
                    <wps:style>
                      <a:lnRef idx="0">
                        <a:srgbClr val="000000">
                          <a:alpha val="0"/>
                        </a:srgbClr>
                      </a:lnRef>
                      <a:fillRef idx="1">
                        <a:srgbClr val="000000"/>
                      </a:fillRef>
                      <a:effectRef idx="0"/>
                      <a:fontRef idx="none"/>
                    </wps:style>
                    <wps:bodyPr/>
                  </wps:wsp>
                  <wps:wsp>
                    <wps:cNvPr id="6040" name="Shape 6040"/>
                    <wps:cNvSpPr/>
                    <wps:spPr>
                      <a:xfrm>
                        <a:off x="1943100" y="773939"/>
                        <a:ext cx="295910" cy="389255"/>
                      </a:xfrm>
                      <a:custGeom>
                        <a:pathLst>
                          <a:path w="295910" h="389255">
                            <a:moveTo>
                              <a:pt x="147955" y="0"/>
                            </a:moveTo>
                            <a:lnTo>
                              <a:pt x="295910" y="77851"/>
                            </a:lnTo>
                            <a:lnTo>
                              <a:pt x="221869" y="77851"/>
                            </a:lnTo>
                            <a:lnTo>
                              <a:pt x="221869" y="311403"/>
                            </a:lnTo>
                            <a:lnTo>
                              <a:pt x="295910" y="311403"/>
                            </a:lnTo>
                            <a:lnTo>
                              <a:pt x="147955" y="389255"/>
                            </a:lnTo>
                            <a:lnTo>
                              <a:pt x="0" y="311403"/>
                            </a:lnTo>
                            <a:lnTo>
                              <a:pt x="73914" y="311403"/>
                            </a:lnTo>
                            <a:lnTo>
                              <a:pt x="73914" y="77851"/>
                            </a:lnTo>
                            <a:lnTo>
                              <a:pt x="0" y="77851"/>
                            </a:lnTo>
                            <a:close/>
                          </a:path>
                        </a:pathLst>
                      </a:custGeom>
                      <a:ln w="9525" cap="rnd">
                        <a:round/>
                      </a:ln>
                    </wps:spPr>
                    <wps:style>
                      <a:lnRef idx="1">
                        <a:srgbClr val="000000"/>
                      </a:lnRef>
                      <a:fillRef idx="0">
                        <a:srgbClr val="000000">
                          <a:alpha val="0"/>
                        </a:srgbClr>
                      </a:fillRef>
                      <a:effectRef idx="0"/>
                      <a:fontRef idx="none"/>
                    </wps:style>
                    <wps:bodyPr/>
                  </wps:wsp>
                  <wps:wsp>
                    <wps:cNvPr id="6041" name="Shape 6041"/>
                    <wps:cNvSpPr/>
                    <wps:spPr>
                      <a:xfrm>
                        <a:off x="6284596" y="4186429"/>
                        <a:ext cx="0" cy="106045"/>
                      </a:xfrm>
                      <a:custGeom>
                        <a:pathLst>
                          <a:path w="0" h="106045">
                            <a:moveTo>
                              <a:pt x="0" y="0"/>
                            </a:moveTo>
                            <a:lnTo>
                              <a:pt x="0" y="106045"/>
                            </a:lnTo>
                          </a:path>
                        </a:pathLst>
                      </a:custGeom>
                      <a:ln w="9525" cap="rnd">
                        <a:round/>
                      </a:ln>
                    </wps:spPr>
                    <wps:style>
                      <a:lnRef idx="1">
                        <a:srgbClr val="000000"/>
                      </a:lnRef>
                      <a:fillRef idx="0">
                        <a:srgbClr val="000000">
                          <a:alpha val="0"/>
                        </a:srgbClr>
                      </a:fillRef>
                      <a:effectRef idx="0"/>
                      <a:fontRef idx="none"/>
                    </wps:style>
                    <wps:bodyPr/>
                  </wps:wsp>
                  <wps:wsp>
                    <wps:cNvPr id="6042" name="Shape 6042"/>
                    <wps:cNvSpPr/>
                    <wps:spPr>
                      <a:xfrm>
                        <a:off x="4937125" y="4186429"/>
                        <a:ext cx="635" cy="189230"/>
                      </a:xfrm>
                      <a:custGeom>
                        <a:pathLst>
                          <a:path w="635" h="189230">
                            <a:moveTo>
                              <a:pt x="0" y="0"/>
                            </a:moveTo>
                            <a:lnTo>
                              <a:pt x="635" y="189230"/>
                            </a:lnTo>
                          </a:path>
                        </a:pathLst>
                      </a:custGeom>
                      <a:ln w="9525" cap="rnd">
                        <a:round/>
                      </a:ln>
                    </wps:spPr>
                    <wps:style>
                      <a:lnRef idx="1">
                        <a:srgbClr val="000000"/>
                      </a:lnRef>
                      <a:fillRef idx="0">
                        <a:srgbClr val="000000">
                          <a:alpha val="0"/>
                        </a:srgbClr>
                      </a:fillRef>
                      <a:effectRef idx="0"/>
                      <a:fontRef idx="none"/>
                    </wps:style>
                    <wps:bodyPr/>
                  </wps:wsp>
                  <wps:wsp>
                    <wps:cNvPr id="6043" name="Shape 6043"/>
                    <wps:cNvSpPr/>
                    <wps:spPr>
                      <a:xfrm>
                        <a:off x="589915" y="4186429"/>
                        <a:ext cx="635" cy="106045"/>
                      </a:xfrm>
                      <a:custGeom>
                        <a:pathLst>
                          <a:path w="635" h="106045">
                            <a:moveTo>
                              <a:pt x="0" y="0"/>
                            </a:moveTo>
                            <a:lnTo>
                              <a:pt x="635" y="106045"/>
                            </a:lnTo>
                          </a:path>
                        </a:pathLst>
                      </a:custGeom>
                      <a:ln w="9525" cap="rnd">
                        <a:round/>
                      </a:ln>
                    </wps:spPr>
                    <wps:style>
                      <a:lnRef idx="1">
                        <a:srgbClr val="000000"/>
                      </a:lnRef>
                      <a:fillRef idx="0">
                        <a:srgbClr val="000000">
                          <a:alpha val="0"/>
                        </a:srgbClr>
                      </a:fillRef>
                      <a:effectRef idx="0"/>
                      <a:fontRef idx="none"/>
                    </wps:style>
                    <wps:bodyPr/>
                  </wps:wsp>
                  <wps:wsp>
                    <wps:cNvPr id="172400" name="Shape 172400"/>
                    <wps:cNvSpPr/>
                    <wps:spPr>
                      <a:xfrm>
                        <a:off x="5803900" y="2419859"/>
                        <a:ext cx="996950" cy="469900"/>
                      </a:xfrm>
                      <a:custGeom>
                        <a:pathLst>
                          <a:path w="996950" h="469900">
                            <a:moveTo>
                              <a:pt x="0" y="0"/>
                            </a:moveTo>
                            <a:lnTo>
                              <a:pt x="996950" y="0"/>
                            </a:lnTo>
                            <a:lnTo>
                              <a:pt x="996950" y="469900"/>
                            </a:lnTo>
                            <a:lnTo>
                              <a:pt x="0" y="469900"/>
                            </a:lnTo>
                            <a:lnTo>
                              <a:pt x="0" y="0"/>
                            </a:lnTo>
                          </a:path>
                        </a:pathLst>
                      </a:custGeom>
                      <a:ln w="0" cap="rnd">
                        <a:round/>
                      </a:ln>
                    </wps:spPr>
                    <wps:style>
                      <a:lnRef idx="0">
                        <a:srgbClr val="000000">
                          <a:alpha val="0"/>
                        </a:srgbClr>
                      </a:lnRef>
                      <a:fillRef idx="1">
                        <a:srgbClr val="808080">
                          <a:alpha val="50196"/>
                        </a:srgbClr>
                      </a:fillRef>
                      <a:effectRef idx="0"/>
                      <a:fontRef idx="none"/>
                    </wps:style>
                    <wps:bodyPr/>
                  </wps:wsp>
                  <wps:wsp>
                    <wps:cNvPr id="172401" name="Shape 172401"/>
                    <wps:cNvSpPr/>
                    <wps:spPr>
                      <a:xfrm>
                        <a:off x="5727700" y="2343659"/>
                        <a:ext cx="996950" cy="469900"/>
                      </a:xfrm>
                      <a:custGeom>
                        <a:pathLst>
                          <a:path w="996950" h="469900">
                            <a:moveTo>
                              <a:pt x="0" y="0"/>
                            </a:moveTo>
                            <a:lnTo>
                              <a:pt x="996950" y="0"/>
                            </a:lnTo>
                            <a:lnTo>
                              <a:pt x="996950" y="469900"/>
                            </a:lnTo>
                            <a:lnTo>
                              <a:pt x="0" y="469900"/>
                            </a:lnTo>
                            <a:lnTo>
                              <a:pt x="0" y="0"/>
                            </a:lnTo>
                          </a:path>
                        </a:pathLst>
                      </a:custGeom>
                      <a:ln w="0" cap="rnd">
                        <a:round/>
                      </a:ln>
                    </wps:spPr>
                    <wps:style>
                      <a:lnRef idx="0">
                        <a:srgbClr val="000000">
                          <a:alpha val="0"/>
                        </a:srgbClr>
                      </a:lnRef>
                      <a:fillRef idx="1">
                        <a:srgbClr val="ffcc99"/>
                      </a:fillRef>
                      <a:effectRef idx="0"/>
                      <a:fontRef idx="none"/>
                    </wps:style>
                    <wps:bodyPr/>
                  </wps:wsp>
                  <wps:wsp>
                    <wps:cNvPr id="6046" name="Shape 6046"/>
                    <wps:cNvSpPr/>
                    <wps:spPr>
                      <a:xfrm>
                        <a:off x="5727700" y="2343659"/>
                        <a:ext cx="996950" cy="469900"/>
                      </a:xfrm>
                      <a:custGeom>
                        <a:pathLst>
                          <a:path w="996950" h="469900">
                            <a:moveTo>
                              <a:pt x="0" y="469900"/>
                            </a:moveTo>
                            <a:lnTo>
                              <a:pt x="996950" y="469900"/>
                            </a:lnTo>
                            <a:lnTo>
                              <a:pt x="996950"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047" name="Rectangle 6047"/>
                    <wps:cNvSpPr/>
                    <wps:spPr>
                      <a:xfrm>
                        <a:off x="5993638" y="2393618"/>
                        <a:ext cx="313957"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Tech</w:t>
                          </w:r>
                        </w:p>
                      </w:txbxContent>
                    </wps:txbx>
                    <wps:bodyPr horzOverflow="overflow" rtlCol="0" vert="horz" lIns="0" tIns="0" rIns="0" bIns="0">
                      <a:noAutofit/>
                    </wps:bodyPr>
                  </wps:wsp>
                  <wps:wsp>
                    <wps:cNvPr id="6048" name="Rectangle 6048"/>
                    <wps:cNvSpPr/>
                    <wps:spPr>
                      <a:xfrm>
                        <a:off x="6229859" y="2393618"/>
                        <a:ext cx="347657"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nical </w:t>
                          </w:r>
                        </w:p>
                      </w:txbxContent>
                    </wps:txbx>
                    <wps:bodyPr horzOverflow="overflow" rtlCol="0" vert="horz" lIns="0" tIns="0" rIns="0" bIns="0">
                      <a:noAutofit/>
                    </wps:bodyPr>
                  </wps:wsp>
                  <wps:wsp>
                    <wps:cNvPr id="6049" name="Rectangle 6049"/>
                    <wps:cNvSpPr/>
                    <wps:spPr>
                      <a:xfrm>
                        <a:off x="5964682" y="2510966"/>
                        <a:ext cx="736712"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Committee </w:t>
                          </w:r>
                        </w:p>
                      </w:txbxContent>
                    </wps:txbx>
                    <wps:bodyPr horzOverflow="overflow" rtlCol="0" vert="horz" lIns="0" tIns="0" rIns="0" bIns="0">
                      <a:noAutofit/>
                    </wps:bodyPr>
                  </wps:wsp>
                  <wps:wsp>
                    <wps:cNvPr id="6050" name="Rectangle 6050"/>
                    <wps:cNvSpPr/>
                    <wps:spPr>
                      <a:xfrm>
                        <a:off x="6083554" y="2634410"/>
                        <a:ext cx="384710"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Union</w:t>
                          </w:r>
                        </w:p>
                      </w:txbxContent>
                    </wps:txbx>
                    <wps:bodyPr horzOverflow="overflow" rtlCol="0" vert="horz" lIns="0" tIns="0" rIns="0" bIns="0">
                      <a:noAutofit/>
                    </wps:bodyPr>
                  </wps:wsp>
                  <wps:wsp>
                    <wps:cNvPr id="6051" name="Rectangle 6051"/>
                    <wps:cNvSpPr/>
                    <wps:spPr>
                      <a:xfrm>
                        <a:off x="6371590" y="2634410"/>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6052" name="Shape 6052"/>
                    <wps:cNvSpPr/>
                    <wps:spPr>
                      <a:xfrm>
                        <a:off x="1584960" y="218949"/>
                        <a:ext cx="4229100" cy="554990"/>
                      </a:xfrm>
                      <a:custGeom>
                        <a:pathLst>
                          <a:path w="4229100" h="554990">
                            <a:moveTo>
                              <a:pt x="92456" y="0"/>
                            </a:moveTo>
                            <a:lnTo>
                              <a:pt x="4136644" y="0"/>
                            </a:lnTo>
                            <a:cubicBezTo>
                              <a:pt x="4187698" y="0"/>
                              <a:pt x="4229100" y="41402"/>
                              <a:pt x="4229100" y="92456"/>
                            </a:cubicBezTo>
                            <a:lnTo>
                              <a:pt x="4229100" y="462534"/>
                            </a:lnTo>
                            <a:cubicBezTo>
                              <a:pt x="4229100" y="513588"/>
                              <a:pt x="4187698" y="554990"/>
                              <a:pt x="4136644" y="554990"/>
                            </a:cubicBezTo>
                            <a:lnTo>
                              <a:pt x="92456" y="554990"/>
                            </a:lnTo>
                            <a:cubicBezTo>
                              <a:pt x="41402" y="554990"/>
                              <a:pt x="0" y="513588"/>
                              <a:pt x="0" y="462534"/>
                            </a:cubicBezTo>
                            <a:lnTo>
                              <a:pt x="0" y="92456"/>
                            </a:lnTo>
                            <a:cubicBezTo>
                              <a:pt x="0" y="41402"/>
                              <a:pt x="41402" y="0"/>
                              <a:pt x="92456" y="0"/>
                            </a:cubicBezTo>
                            <a:close/>
                          </a:path>
                        </a:pathLst>
                      </a:custGeom>
                      <a:ln w="0" cap="rnd">
                        <a:miter lim="101600"/>
                      </a:ln>
                    </wps:spPr>
                    <wps:style>
                      <a:lnRef idx="0">
                        <a:srgbClr val="000000">
                          <a:alpha val="0"/>
                        </a:srgbClr>
                      </a:lnRef>
                      <a:fillRef idx="1">
                        <a:srgbClr val="99ccff"/>
                      </a:fillRef>
                      <a:effectRef idx="0"/>
                      <a:fontRef idx="none"/>
                    </wps:style>
                    <wps:bodyPr/>
                  </wps:wsp>
                  <wps:wsp>
                    <wps:cNvPr id="6053" name="Shape 6053"/>
                    <wps:cNvSpPr/>
                    <wps:spPr>
                      <a:xfrm>
                        <a:off x="1584960" y="218949"/>
                        <a:ext cx="4229100" cy="554990"/>
                      </a:xfrm>
                      <a:custGeom>
                        <a:pathLst>
                          <a:path w="4229100" h="554990">
                            <a:moveTo>
                              <a:pt x="92456" y="0"/>
                            </a:moveTo>
                            <a:cubicBezTo>
                              <a:pt x="41402" y="0"/>
                              <a:pt x="0" y="41402"/>
                              <a:pt x="0" y="92456"/>
                            </a:cubicBezTo>
                            <a:lnTo>
                              <a:pt x="0" y="462534"/>
                            </a:lnTo>
                            <a:cubicBezTo>
                              <a:pt x="0" y="513588"/>
                              <a:pt x="41402" y="554990"/>
                              <a:pt x="92456" y="554990"/>
                            </a:cubicBezTo>
                            <a:lnTo>
                              <a:pt x="4136644" y="554990"/>
                            </a:lnTo>
                            <a:cubicBezTo>
                              <a:pt x="4187698" y="554990"/>
                              <a:pt x="4229100" y="513588"/>
                              <a:pt x="4229100" y="462534"/>
                            </a:cubicBezTo>
                            <a:lnTo>
                              <a:pt x="4229100" y="92456"/>
                            </a:lnTo>
                            <a:cubicBezTo>
                              <a:pt x="4229100" y="41402"/>
                              <a:pt x="4187698" y="0"/>
                              <a:pt x="4136644" y="0"/>
                            </a:cubicBezTo>
                            <a:close/>
                          </a:path>
                        </a:pathLst>
                      </a:custGeom>
                      <a:ln w="9525" cap="rnd">
                        <a:round/>
                      </a:ln>
                    </wps:spPr>
                    <wps:style>
                      <a:lnRef idx="1">
                        <a:srgbClr val="000000"/>
                      </a:lnRef>
                      <a:fillRef idx="0">
                        <a:srgbClr val="000000">
                          <a:alpha val="0"/>
                        </a:srgbClr>
                      </a:fillRef>
                      <a:effectRef idx="0"/>
                      <a:fontRef idx="none"/>
                    </wps:style>
                    <wps:bodyPr/>
                  </wps:wsp>
                  <wps:wsp>
                    <wps:cNvPr id="6054" name="Rectangle 6054"/>
                    <wps:cNvSpPr/>
                    <wps:spPr>
                      <a:xfrm>
                        <a:off x="2431415" y="451486"/>
                        <a:ext cx="3373045" cy="338394"/>
                      </a:xfrm>
                      <a:prstGeom prst="rect">
                        <a:avLst/>
                      </a:prstGeom>
                      <a:ln>
                        <a:noFill/>
                      </a:ln>
                    </wps:spPr>
                    <wps:txbx>
                      <w:txbxContent>
                        <w:p>
                          <w:pPr>
                            <w:spacing w:before="0" w:after="160" w:line="259" w:lineRule="auto"/>
                            <w:ind w:left="0" w:right="0" w:firstLine="0"/>
                            <w:jc w:val="left"/>
                          </w:pPr>
                          <w:r>
                            <w:rPr>
                              <w:rFonts w:cs="Arial" w:hAnsi="Arial" w:eastAsia="Arial" w:ascii="Arial"/>
                              <w:i w:val="1"/>
                              <w:sz w:val="36"/>
                            </w:rPr>
                            <w:t xml:space="preserve">DEP Steering Committee</w:t>
                          </w:r>
                        </w:p>
                      </w:txbxContent>
                    </wps:txbx>
                    <wps:bodyPr horzOverflow="overflow" rtlCol="0" vert="horz" lIns="0" tIns="0" rIns="0" bIns="0">
                      <a:noAutofit/>
                    </wps:bodyPr>
                  </wps:wsp>
                  <wps:wsp>
                    <wps:cNvPr id="6055" name="Rectangle 6055"/>
                    <wps:cNvSpPr/>
                    <wps:spPr>
                      <a:xfrm>
                        <a:off x="4969510" y="451486"/>
                        <a:ext cx="84472" cy="338394"/>
                      </a:xfrm>
                      <a:prstGeom prst="rect">
                        <a:avLst/>
                      </a:prstGeom>
                      <a:ln>
                        <a:noFill/>
                      </a:ln>
                    </wps:spPr>
                    <wps:txbx>
                      <w:txbxContent>
                        <w:p>
                          <w:pPr>
                            <w:spacing w:before="0" w:after="160" w:line="259" w:lineRule="auto"/>
                            <w:ind w:left="0" w:right="0" w:firstLine="0"/>
                            <w:jc w:val="left"/>
                          </w:pPr>
                          <w:r>
                            <w:rPr>
                              <w:rFonts w:cs="Arial" w:hAnsi="Arial" w:eastAsia="Arial" w:ascii="Arial"/>
                              <w:i w:val="1"/>
                              <w:sz w:val="36"/>
                            </w:rPr>
                            <w:t xml:space="preserve"> </w:t>
                          </w:r>
                        </w:p>
                      </w:txbxContent>
                    </wps:txbx>
                    <wps:bodyPr horzOverflow="overflow" rtlCol="0" vert="horz" lIns="0" tIns="0" rIns="0" bIns="0">
                      <a:noAutofit/>
                    </wps:bodyPr>
                  </wps:wsp>
                  <wps:wsp>
                    <wps:cNvPr id="172402" name="Shape 172402"/>
                    <wps:cNvSpPr/>
                    <wps:spPr>
                      <a:xfrm>
                        <a:off x="218440" y="4368674"/>
                        <a:ext cx="1028700" cy="1520825"/>
                      </a:xfrm>
                      <a:custGeom>
                        <a:pathLst>
                          <a:path w="1028700" h="1520825">
                            <a:moveTo>
                              <a:pt x="0" y="0"/>
                            </a:moveTo>
                            <a:lnTo>
                              <a:pt x="1028700" y="0"/>
                            </a:lnTo>
                            <a:lnTo>
                              <a:pt x="1028700" y="1520825"/>
                            </a:lnTo>
                            <a:lnTo>
                              <a:pt x="0" y="1520825"/>
                            </a:lnTo>
                            <a:lnTo>
                              <a:pt x="0" y="0"/>
                            </a:lnTo>
                          </a:path>
                        </a:pathLst>
                      </a:custGeom>
                      <a:ln w="0" cap="rnd">
                        <a:round/>
                      </a:ln>
                    </wps:spPr>
                    <wps:style>
                      <a:lnRef idx="0">
                        <a:srgbClr val="000000">
                          <a:alpha val="0"/>
                        </a:srgbClr>
                      </a:lnRef>
                      <a:fillRef idx="1">
                        <a:srgbClr val="808080">
                          <a:alpha val="50196"/>
                        </a:srgbClr>
                      </a:fillRef>
                      <a:effectRef idx="0"/>
                      <a:fontRef idx="none"/>
                    </wps:style>
                    <wps:bodyPr/>
                  </wps:wsp>
                  <wps:wsp>
                    <wps:cNvPr id="172403" name="Shape 172403"/>
                    <wps:cNvSpPr/>
                    <wps:spPr>
                      <a:xfrm>
                        <a:off x="142240" y="4292474"/>
                        <a:ext cx="1028700" cy="1520825"/>
                      </a:xfrm>
                      <a:custGeom>
                        <a:pathLst>
                          <a:path w="1028700" h="1520825">
                            <a:moveTo>
                              <a:pt x="0" y="0"/>
                            </a:moveTo>
                            <a:lnTo>
                              <a:pt x="1028700" y="0"/>
                            </a:lnTo>
                            <a:lnTo>
                              <a:pt x="1028700" y="1520825"/>
                            </a:lnTo>
                            <a:lnTo>
                              <a:pt x="0" y="1520825"/>
                            </a:lnTo>
                            <a:lnTo>
                              <a:pt x="0" y="0"/>
                            </a:lnTo>
                          </a:path>
                        </a:pathLst>
                      </a:custGeom>
                      <a:ln w="0" cap="rnd">
                        <a:round/>
                      </a:ln>
                    </wps:spPr>
                    <wps:style>
                      <a:lnRef idx="0">
                        <a:srgbClr val="000000">
                          <a:alpha val="0"/>
                        </a:srgbClr>
                      </a:lnRef>
                      <a:fillRef idx="1">
                        <a:srgbClr val="ffff99"/>
                      </a:fillRef>
                      <a:effectRef idx="0"/>
                      <a:fontRef idx="none"/>
                    </wps:style>
                    <wps:bodyPr/>
                  </wps:wsp>
                  <wps:wsp>
                    <wps:cNvPr id="6058" name="Shape 6058"/>
                    <wps:cNvSpPr/>
                    <wps:spPr>
                      <a:xfrm>
                        <a:off x="142240" y="4292474"/>
                        <a:ext cx="1028700" cy="1520825"/>
                      </a:xfrm>
                      <a:custGeom>
                        <a:pathLst>
                          <a:path w="1028700" h="1520825">
                            <a:moveTo>
                              <a:pt x="0" y="1520825"/>
                            </a:moveTo>
                            <a:lnTo>
                              <a:pt x="1028700" y="1520825"/>
                            </a:lnTo>
                            <a:lnTo>
                              <a:pt x="1028700"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059" name="Rectangle 6059"/>
                    <wps:cNvSpPr/>
                    <wps:spPr>
                      <a:xfrm>
                        <a:off x="239268" y="4344227"/>
                        <a:ext cx="55882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Project </w:t>
                          </w:r>
                        </w:p>
                      </w:txbxContent>
                    </wps:txbx>
                    <wps:bodyPr horzOverflow="overflow" rtlCol="0" vert="horz" lIns="0" tIns="0" rIns="0" bIns="0">
                      <a:noAutofit/>
                    </wps:bodyPr>
                  </wps:wsp>
                  <wps:wsp>
                    <wps:cNvPr id="6060" name="Rectangle 6060"/>
                    <wps:cNvSpPr/>
                    <wps:spPr>
                      <a:xfrm>
                        <a:off x="239268" y="4475291"/>
                        <a:ext cx="84644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Component</w:t>
                          </w:r>
                        </w:p>
                      </w:txbxContent>
                    </wps:txbx>
                    <wps:bodyPr horzOverflow="overflow" rtlCol="0" vert="horz" lIns="0" tIns="0" rIns="0" bIns="0">
                      <a:noAutofit/>
                    </wps:bodyPr>
                  </wps:wsp>
                  <wps:wsp>
                    <wps:cNvPr id="6061" name="Rectangle 6061"/>
                    <wps:cNvSpPr/>
                    <wps:spPr>
                      <a:xfrm>
                        <a:off x="875081" y="4475291"/>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 </w:t>
                          </w:r>
                        </w:p>
                      </w:txbxContent>
                    </wps:txbx>
                    <wps:bodyPr horzOverflow="overflow" rtlCol="0" vert="horz" lIns="0" tIns="0" rIns="0" bIns="0">
                      <a:noAutofit/>
                    </wps:bodyPr>
                  </wps:wsp>
                  <wps:wsp>
                    <wps:cNvPr id="6062" name="Rectangle 6062"/>
                    <wps:cNvSpPr/>
                    <wps:spPr>
                      <a:xfrm>
                        <a:off x="907034" y="4475291"/>
                        <a:ext cx="8454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1</w:t>
                          </w:r>
                        </w:p>
                      </w:txbxContent>
                    </wps:txbx>
                    <wps:bodyPr horzOverflow="overflow" rtlCol="0" vert="horz" lIns="0" tIns="0" rIns="0" bIns="0">
                      <a:noAutofit/>
                    </wps:bodyPr>
                  </wps:wsp>
                  <wps:wsp>
                    <wps:cNvPr id="6063" name="Rectangle 6063"/>
                    <wps:cNvSpPr/>
                    <wps:spPr>
                      <a:xfrm>
                        <a:off x="971042" y="4475291"/>
                        <a:ext cx="50624"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w:t>
                          </w:r>
                        </w:p>
                      </w:txbxContent>
                    </wps:txbx>
                    <wps:bodyPr horzOverflow="overflow" rtlCol="0" vert="horz" lIns="0" tIns="0" rIns="0" bIns="0">
                      <a:noAutofit/>
                    </wps:bodyPr>
                  </wps:wsp>
                  <wps:wsp>
                    <wps:cNvPr id="6064" name="Rectangle 6064"/>
                    <wps:cNvSpPr/>
                    <wps:spPr>
                      <a:xfrm>
                        <a:off x="1007618" y="4475291"/>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sz w:val="18"/>
                            </w:rPr>
                            <w:t xml:space="preserve"> </w:t>
                          </w:r>
                        </w:p>
                      </w:txbxContent>
                    </wps:txbx>
                    <wps:bodyPr horzOverflow="overflow" rtlCol="0" vert="horz" lIns="0" tIns="0" rIns="0" bIns="0">
                      <a:noAutofit/>
                    </wps:bodyPr>
                  </wps:wsp>
                  <wps:wsp>
                    <wps:cNvPr id="6065" name="Rectangle 6065"/>
                    <wps:cNvSpPr/>
                    <wps:spPr>
                      <a:xfrm>
                        <a:off x="239268" y="4633190"/>
                        <a:ext cx="76748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Supporting </w:t>
                          </w:r>
                        </w:p>
                      </w:txbxContent>
                    </wps:txbx>
                    <wps:bodyPr horzOverflow="overflow" rtlCol="0" vert="horz" lIns="0" tIns="0" rIns="0" bIns="0">
                      <a:noAutofit/>
                    </wps:bodyPr>
                  </wps:wsp>
                  <wps:wsp>
                    <wps:cNvPr id="6066" name="Rectangle 6066"/>
                    <wps:cNvSpPr/>
                    <wps:spPr>
                      <a:xfrm>
                        <a:off x="239268" y="4774922"/>
                        <a:ext cx="673610"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Legal and </w:t>
                          </w:r>
                        </w:p>
                      </w:txbxContent>
                    </wps:txbx>
                    <wps:bodyPr horzOverflow="overflow" rtlCol="0" vert="horz" lIns="0" tIns="0" rIns="0" bIns="0">
                      <a:noAutofit/>
                    </wps:bodyPr>
                  </wps:wsp>
                  <wps:wsp>
                    <wps:cNvPr id="6067" name="Rectangle 6067"/>
                    <wps:cNvSpPr/>
                    <wps:spPr>
                      <a:xfrm>
                        <a:off x="239268" y="4918178"/>
                        <a:ext cx="833769"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Institutional </w:t>
                          </w:r>
                        </w:p>
                      </w:txbxContent>
                    </wps:txbx>
                    <wps:bodyPr horzOverflow="overflow" rtlCol="0" vert="horz" lIns="0" tIns="0" rIns="0" bIns="0">
                      <a:noAutofit/>
                    </wps:bodyPr>
                  </wps:wsp>
                  <wps:wsp>
                    <wps:cNvPr id="6068" name="Rectangle 6068"/>
                    <wps:cNvSpPr/>
                    <wps:spPr>
                      <a:xfrm>
                        <a:off x="239268" y="5061434"/>
                        <a:ext cx="783131"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Reform for </w:t>
                          </w:r>
                        </w:p>
                      </w:txbxContent>
                    </wps:txbx>
                    <wps:bodyPr horzOverflow="overflow" rtlCol="0" vert="horz" lIns="0" tIns="0" rIns="0" bIns="0">
                      <a:noAutofit/>
                    </wps:bodyPr>
                  </wps:wsp>
                  <wps:wsp>
                    <wps:cNvPr id="6069" name="Rectangle 6069"/>
                    <wps:cNvSpPr/>
                    <wps:spPr>
                      <a:xfrm>
                        <a:off x="239268" y="5204690"/>
                        <a:ext cx="594709"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Credible </w:t>
                          </w:r>
                        </w:p>
                      </w:txbxContent>
                    </wps:txbx>
                    <wps:bodyPr horzOverflow="overflow" rtlCol="0" vert="horz" lIns="0" tIns="0" rIns="0" bIns="0">
                      <a:noAutofit/>
                    </wps:bodyPr>
                  </wps:wsp>
                  <wps:wsp>
                    <wps:cNvPr id="6070" name="Rectangle 6070"/>
                    <wps:cNvSpPr/>
                    <wps:spPr>
                      <a:xfrm>
                        <a:off x="239268" y="5347946"/>
                        <a:ext cx="651740"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Elections </w:t>
                          </w:r>
                        </w:p>
                      </w:txbxContent>
                    </wps:txbx>
                    <wps:bodyPr horzOverflow="overflow" rtlCol="0" vert="horz" lIns="0" tIns="0" rIns="0" bIns="0">
                      <a:noAutofit/>
                    </wps:bodyPr>
                  </wps:wsp>
                  <wps:wsp>
                    <wps:cNvPr id="6071" name="Rectangle 6071"/>
                    <wps:cNvSpPr/>
                    <wps:spPr>
                      <a:xfrm>
                        <a:off x="731825" y="5316173"/>
                        <a:ext cx="46741" cy="187581"/>
                      </a:xfrm>
                      <a:prstGeom prst="rect">
                        <a:avLst/>
                      </a:prstGeom>
                      <a:ln>
                        <a:noFill/>
                      </a:ln>
                    </wps:spPr>
                    <wps:txbx>
                      <w:txbxContent>
                        <w:p>
                          <w:pPr>
                            <w:spacing w:before="0" w:after="160" w:line="259" w:lineRule="auto"/>
                            <w:ind w:left="0" w:right="0" w:firstLine="0"/>
                            <w:jc w:val="left"/>
                          </w:pPr>
                          <w:r>
                            <w:rPr>
                              <w:rFonts w:cs="Arial" w:hAnsi="Arial" w:eastAsia="Arial" w:ascii="Arial"/>
                              <w:sz w:val="20"/>
                            </w:rPr>
                            <w:t xml:space="preserve"> </w:t>
                          </w:r>
                        </w:p>
                      </w:txbxContent>
                    </wps:txbx>
                    <wps:bodyPr horzOverflow="overflow" rtlCol="0" vert="horz" lIns="0" tIns="0" rIns="0" bIns="0">
                      <a:noAutofit/>
                    </wps:bodyPr>
                  </wps:wsp>
                  <wps:wsp>
                    <wps:cNvPr id="172404" name="Shape 172404"/>
                    <wps:cNvSpPr/>
                    <wps:spPr>
                      <a:xfrm>
                        <a:off x="90805" y="2362074"/>
                        <a:ext cx="915035" cy="464185"/>
                      </a:xfrm>
                      <a:custGeom>
                        <a:pathLst>
                          <a:path w="915035" h="464185">
                            <a:moveTo>
                              <a:pt x="0" y="0"/>
                            </a:moveTo>
                            <a:lnTo>
                              <a:pt x="915035" y="0"/>
                            </a:lnTo>
                            <a:lnTo>
                              <a:pt x="915035" y="464185"/>
                            </a:lnTo>
                            <a:lnTo>
                              <a:pt x="0" y="464185"/>
                            </a:lnTo>
                            <a:lnTo>
                              <a:pt x="0" y="0"/>
                            </a:lnTo>
                          </a:path>
                        </a:pathLst>
                      </a:custGeom>
                      <a:ln w="0" cap="rnd">
                        <a:miter lim="101600"/>
                      </a:ln>
                    </wps:spPr>
                    <wps:style>
                      <a:lnRef idx="0">
                        <a:srgbClr val="000000">
                          <a:alpha val="0"/>
                        </a:srgbClr>
                      </a:lnRef>
                      <a:fillRef idx="1">
                        <a:srgbClr val="808080">
                          <a:alpha val="50196"/>
                        </a:srgbClr>
                      </a:fillRef>
                      <a:effectRef idx="0"/>
                      <a:fontRef idx="none"/>
                    </wps:style>
                    <wps:bodyPr/>
                  </wps:wsp>
                  <wps:wsp>
                    <wps:cNvPr id="172405" name="Shape 172405"/>
                    <wps:cNvSpPr/>
                    <wps:spPr>
                      <a:xfrm>
                        <a:off x="14605" y="2285874"/>
                        <a:ext cx="915035" cy="464185"/>
                      </a:xfrm>
                      <a:custGeom>
                        <a:pathLst>
                          <a:path w="915035" h="464185">
                            <a:moveTo>
                              <a:pt x="0" y="0"/>
                            </a:moveTo>
                            <a:lnTo>
                              <a:pt x="915035" y="0"/>
                            </a:lnTo>
                            <a:lnTo>
                              <a:pt x="915035" y="464185"/>
                            </a:lnTo>
                            <a:lnTo>
                              <a:pt x="0" y="464185"/>
                            </a:lnTo>
                            <a:lnTo>
                              <a:pt x="0" y="0"/>
                            </a:lnTo>
                          </a:path>
                        </a:pathLst>
                      </a:custGeom>
                      <a:ln w="0" cap="rnd">
                        <a:miter lim="101600"/>
                      </a:ln>
                    </wps:spPr>
                    <wps:style>
                      <a:lnRef idx="0">
                        <a:srgbClr val="000000">
                          <a:alpha val="0"/>
                        </a:srgbClr>
                      </a:lnRef>
                      <a:fillRef idx="1">
                        <a:srgbClr val="ffcc99"/>
                      </a:fillRef>
                      <a:effectRef idx="0"/>
                      <a:fontRef idx="none"/>
                    </wps:style>
                    <wps:bodyPr/>
                  </wps:wsp>
                  <wps:wsp>
                    <wps:cNvPr id="6074" name="Shape 6074"/>
                    <wps:cNvSpPr/>
                    <wps:spPr>
                      <a:xfrm>
                        <a:off x="14605" y="2285874"/>
                        <a:ext cx="915035" cy="464185"/>
                      </a:xfrm>
                      <a:custGeom>
                        <a:pathLst>
                          <a:path w="915035" h="464185">
                            <a:moveTo>
                              <a:pt x="0" y="464185"/>
                            </a:moveTo>
                            <a:lnTo>
                              <a:pt x="915035" y="464185"/>
                            </a:lnTo>
                            <a:lnTo>
                              <a:pt x="915035"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075" name="Rectangle 6075"/>
                    <wps:cNvSpPr/>
                    <wps:spPr>
                      <a:xfrm>
                        <a:off x="237744" y="2335706"/>
                        <a:ext cx="661613"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Technical </w:t>
                          </w:r>
                        </w:p>
                      </w:txbxContent>
                    </wps:txbx>
                    <wps:bodyPr horzOverflow="overflow" rtlCol="0" vert="horz" lIns="0" tIns="0" rIns="0" bIns="0">
                      <a:noAutofit/>
                    </wps:bodyPr>
                  </wps:wsp>
                  <wps:wsp>
                    <wps:cNvPr id="6076" name="Rectangle 6076"/>
                    <wps:cNvSpPr/>
                    <wps:spPr>
                      <a:xfrm>
                        <a:off x="208788" y="2453054"/>
                        <a:ext cx="736712"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Committee </w:t>
                          </w:r>
                        </w:p>
                      </w:txbxContent>
                    </wps:txbx>
                    <wps:bodyPr horzOverflow="overflow" rtlCol="0" vert="horz" lIns="0" tIns="0" rIns="0" bIns="0">
                      <a:noAutofit/>
                    </wps:bodyPr>
                  </wps:wsp>
                  <wps:wsp>
                    <wps:cNvPr id="6077" name="Rectangle 6077"/>
                    <wps:cNvSpPr/>
                    <wps:spPr>
                      <a:xfrm>
                        <a:off x="263652" y="2576498"/>
                        <a:ext cx="557903"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Zanzibar</w:t>
                          </w:r>
                        </w:p>
                      </w:txbxContent>
                    </wps:txbx>
                    <wps:bodyPr horzOverflow="overflow" rtlCol="0" vert="horz" lIns="0" tIns="0" rIns="0" bIns="0">
                      <a:noAutofit/>
                    </wps:bodyPr>
                  </wps:wsp>
                  <wps:wsp>
                    <wps:cNvPr id="6078" name="Rectangle 6078"/>
                    <wps:cNvSpPr/>
                    <wps:spPr>
                      <a:xfrm>
                        <a:off x="681533" y="2576498"/>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172406" name="Shape 172406"/>
                    <wps:cNvSpPr/>
                    <wps:spPr>
                      <a:xfrm>
                        <a:off x="1816100" y="4380104"/>
                        <a:ext cx="1109345" cy="1509395"/>
                      </a:xfrm>
                      <a:custGeom>
                        <a:pathLst>
                          <a:path w="1109345" h="1509395">
                            <a:moveTo>
                              <a:pt x="0" y="0"/>
                            </a:moveTo>
                            <a:lnTo>
                              <a:pt x="1109345" y="0"/>
                            </a:lnTo>
                            <a:lnTo>
                              <a:pt x="1109345" y="1509395"/>
                            </a:lnTo>
                            <a:lnTo>
                              <a:pt x="0" y="1509395"/>
                            </a:lnTo>
                            <a:lnTo>
                              <a:pt x="0" y="0"/>
                            </a:lnTo>
                          </a:path>
                        </a:pathLst>
                      </a:custGeom>
                      <a:ln w="0" cap="rnd">
                        <a:miter lim="101600"/>
                      </a:ln>
                    </wps:spPr>
                    <wps:style>
                      <a:lnRef idx="0">
                        <a:srgbClr val="000000">
                          <a:alpha val="0"/>
                        </a:srgbClr>
                      </a:lnRef>
                      <a:fillRef idx="1">
                        <a:srgbClr val="808080">
                          <a:alpha val="50196"/>
                        </a:srgbClr>
                      </a:fillRef>
                      <a:effectRef idx="0"/>
                      <a:fontRef idx="none"/>
                    </wps:style>
                    <wps:bodyPr/>
                  </wps:wsp>
                  <wps:wsp>
                    <wps:cNvPr id="172407" name="Shape 172407"/>
                    <wps:cNvSpPr/>
                    <wps:spPr>
                      <a:xfrm>
                        <a:off x="1739900" y="4303904"/>
                        <a:ext cx="1109345" cy="1509395"/>
                      </a:xfrm>
                      <a:custGeom>
                        <a:pathLst>
                          <a:path w="1109345" h="1509395">
                            <a:moveTo>
                              <a:pt x="0" y="0"/>
                            </a:moveTo>
                            <a:lnTo>
                              <a:pt x="1109345" y="0"/>
                            </a:lnTo>
                            <a:lnTo>
                              <a:pt x="1109345" y="1509395"/>
                            </a:lnTo>
                            <a:lnTo>
                              <a:pt x="0" y="1509395"/>
                            </a:lnTo>
                            <a:lnTo>
                              <a:pt x="0" y="0"/>
                            </a:lnTo>
                          </a:path>
                        </a:pathLst>
                      </a:custGeom>
                      <a:ln w="0" cap="rnd">
                        <a:miter lim="101600"/>
                      </a:ln>
                    </wps:spPr>
                    <wps:style>
                      <a:lnRef idx="0">
                        <a:srgbClr val="000000">
                          <a:alpha val="0"/>
                        </a:srgbClr>
                      </a:lnRef>
                      <a:fillRef idx="1">
                        <a:srgbClr val="ffff99"/>
                      </a:fillRef>
                      <a:effectRef idx="0"/>
                      <a:fontRef idx="none"/>
                    </wps:style>
                    <wps:bodyPr/>
                  </wps:wsp>
                  <wps:wsp>
                    <wps:cNvPr id="6081" name="Shape 6081"/>
                    <wps:cNvSpPr/>
                    <wps:spPr>
                      <a:xfrm>
                        <a:off x="1739900" y="4303904"/>
                        <a:ext cx="1109345" cy="1509395"/>
                      </a:xfrm>
                      <a:custGeom>
                        <a:pathLst>
                          <a:path w="1109345" h="1509395">
                            <a:moveTo>
                              <a:pt x="0" y="1509395"/>
                            </a:moveTo>
                            <a:lnTo>
                              <a:pt x="1109345" y="1509395"/>
                            </a:lnTo>
                            <a:lnTo>
                              <a:pt x="1109345"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082" name="Rectangle 6082"/>
                    <wps:cNvSpPr/>
                    <wps:spPr>
                      <a:xfrm>
                        <a:off x="1836674" y="4356418"/>
                        <a:ext cx="55882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Project </w:t>
                          </w:r>
                        </w:p>
                      </w:txbxContent>
                    </wps:txbx>
                    <wps:bodyPr horzOverflow="overflow" rtlCol="0" vert="horz" lIns="0" tIns="0" rIns="0" bIns="0">
                      <a:noAutofit/>
                    </wps:bodyPr>
                  </wps:wsp>
                  <wps:wsp>
                    <wps:cNvPr id="6083" name="Rectangle 6083"/>
                    <wps:cNvSpPr/>
                    <wps:spPr>
                      <a:xfrm>
                        <a:off x="1836674" y="4487483"/>
                        <a:ext cx="102293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Component 2:</w:t>
                          </w:r>
                        </w:p>
                      </w:txbxContent>
                    </wps:txbx>
                    <wps:bodyPr horzOverflow="overflow" rtlCol="0" vert="horz" lIns="0" tIns="0" rIns="0" bIns="0">
                      <a:noAutofit/>
                    </wps:bodyPr>
                  </wps:wsp>
                  <wps:wsp>
                    <wps:cNvPr id="6084" name="Rectangle 6084"/>
                    <wps:cNvSpPr/>
                    <wps:spPr>
                      <a:xfrm>
                        <a:off x="2605151" y="4487483"/>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sz w:val="18"/>
                            </w:rPr>
                            <w:t xml:space="preserve"> </w:t>
                          </w:r>
                        </w:p>
                      </w:txbxContent>
                    </wps:txbx>
                    <wps:bodyPr horzOverflow="overflow" rtlCol="0" vert="horz" lIns="0" tIns="0" rIns="0" bIns="0">
                      <a:noAutofit/>
                    </wps:bodyPr>
                  </wps:wsp>
                  <wps:wsp>
                    <wps:cNvPr id="6085" name="Rectangle 6085"/>
                    <wps:cNvSpPr/>
                    <wps:spPr>
                      <a:xfrm>
                        <a:off x="1836674" y="4643858"/>
                        <a:ext cx="56711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Support </w:t>
                          </w:r>
                        </w:p>
                      </w:txbxContent>
                    </wps:txbx>
                    <wps:bodyPr horzOverflow="overflow" rtlCol="0" vert="horz" lIns="0" tIns="0" rIns="0" bIns="0">
                      <a:noAutofit/>
                    </wps:bodyPr>
                  </wps:wsp>
                  <wps:wsp>
                    <wps:cNvPr id="6086" name="Rectangle 6086"/>
                    <wps:cNvSpPr/>
                    <wps:spPr>
                      <a:xfrm>
                        <a:off x="1836674" y="4787114"/>
                        <a:ext cx="1105132"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improvement of </w:t>
                          </w:r>
                        </w:p>
                      </w:txbxContent>
                    </wps:txbx>
                    <wps:bodyPr horzOverflow="overflow" rtlCol="0" vert="horz" lIns="0" tIns="0" rIns="0" bIns="0">
                      <a:noAutofit/>
                    </wps:bodyPr>
                  </wps:wsp>
                  <wps:wsp>
                    <wps:cNvPr id="6087" name="Rectangle 6087"/>
                    <wps:cNvSpPr/>
                    <wps:spPr>
                      <a:xfrm>
                        <a:off x="1836674" y="4930370"/>
                        <a:ext cx="1253514"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EMB integrity and </w:t>
                          </w:r>
                        </w:p>
                      </w:txbxContent>
                    </wps:txbx>
                    <wps:bodyPr horzOverflow="overflow" rtlCol="0" vert="horz" lIns="0" tIns="0" rIns="0" bIns="0">
                      <a:noAutofit/>
                    </wps:bodyPr>
                  </wps:wsp>
                  <wps:wsp>
                    <wps:cNvPr id="6088" name="Rectangle 6088"/>
                    <wps:cNvSpPr/>
                    <wps:spPr>
                      <a:xfrm>
                        <a:off x="1836674" y="5072102"/>
                        <a:ext cx="87515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management </w:t>
                          </w:r>
                        </w:p>
                      </w:txbxContent>
                    </wps:txbx>
                    <wps:bodyPr horzOverflow="overflow" rtlCol="0" vert="horz" lIns="0" tIns="0" rIns="0" bIns="0">
                      <a:noAutofit/>
                    </wps:bodyPr>
                  </wps:wsp>
                  <wps:wsp>
                    <wps:cNvPr id="6089" name="Rectangle 6089"/>
                    <wps:cNvSpPr/>
                    <wps:spPr>
                      <a:xfrm>
                        <a:off x="1836674" y="5216882"/>
                        <a:ext cx="622299"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capacities</w:t>
                          </w:r>
                        </w:p>
                      </w:txbxContent>
                    </wps:txbx>
                    <wps:bodyPr horzOverflow="overflow" rtlCol="0" vert="horz" lIns="0" tIns="0" rIns="0" bIns="0">
                      <a:noAutofit/>
                    </wps:bodyPr>
                  </wps:wsp>
                  <wps:wsp>
                    <wps:cNvPr id="6090" name="Rectangle 6090"/>
                    <wps:cNvSpPr/>
                    <wps:spPr>
                      <a:xfrm>
                        <a:off x="2304923" y="5185109"/>
                        <a:ext cx="46741" cy="187581"/>
                      </a:xfrm>
                      <a:prstGeom prst="rect">
                        <a:avLst/>
                      </a:prstGeom>
                      <a:ln>
                        <a:noFill/>
                      </a:ln>
                    </wps:spPr>
                    <wps:txbx>
                      <w:txbxContent>
                        <w:p>
                          <w:pPr>
                            <w:spacing w:before="0" w:after="160" w:line="259" w:lineRule="auto"/>
                            <w:ind w:left="0" w:right="0" w:firstLine="0"/>
                            <w:jc w:val="left"/>
                          </w:pPr>
                          <w:r>
                            <w:rPr>
                              <w:rFonts w:cs="Arial" w:hAnsi="Arial" w:eastAsia="Arial" w:ascii="Arial"/>
                              <w:sz w:val="20"/>
                            </w:rPr>
                            <w:t xml:space="preserve"> </w:t>
                          </w:r>
                        </w:p>
                      </w:txbxContent>
                    </wps:txbx>
                    <wps:bodyPr horzOverflow="overflow" rtlCol="0" vert="horz" lIns="0" tIns="0" rIns="0" bIns="0">
                      <a:noAutofit/>
                    </wps:bodyPr>
                  </wps:wsp>
                  <wps:wsp>
                    <wps:cNvPr id="172408" name="Shape 172408"/>
                    <wps:cNvSpPr/>
                    <wps:spPr>
                      <a:xfrm>
                        <a:off x="4492625" y="4404234"/>
                        <a:ext cx="1064260" cy="1485265"/>
                      </a:xfrm>
                      <a:custGeom>
                        <a:pathLst>
                          <a:path w="1064260" h="1485265">
                            <a:moveTo>
                              <a:pt x="0" y="0"/>
                            </a:moveTo>
                            <a:lnTo>
                              <a:pt x="1064260" y="0"/>
                            </a:lnTo>
                            <a:lnTo>
                              <a:pt x="1064260" y="1485265"/>
                            </a:lnTo>
                            <a:lnTo>
                              <a:pt x="0" y="1485265"/>
                            </a:lnTo>
                            <a:lnTo>
                              <a:pt x="0" y="0"/>
                            </a:lnTo>
                          </a:path>
                        </a:pathLst>
                      </a:custGeom>
                      <a:ln w="0" cap="rnd">
                        <a:miter lim="101600"/>
                      </a:ln>
                    </wps:spPr>
                    <wps:style>
                      <a:lnRef idx="0">
                        <a:srgbClr val="000000">
                          <a:alpha val="0"/>
                        </a:srgbClr>
                      </a:lnRef>
                      <a:fillRef idx="1">
                        <a:srgbClr val="808080">
                          <a:alpha val="50196"/>
                        </a:srgbClr>
                      </a:fillRef>
                      <a:effectRef idx="0"/>
                      <a:fontRef idx="none"/>
                    </wps:style>
                    <wps:bodyPr/>
                  </wps:wsp>
                  <wps:wsp>
                    <wps:cNvPr id="172409" name="Shape 172409"/>
                    <wps:cNvSpPr/>
                    <wps:spPr>
                      <a:xfrm>
                        <a:off x="4416425" y="4328034"/>
                        <a:ext cx="1064260" cy="1485265"/>
                      </a:xfrm>
                      <a:custGeom>
                        <a:pathLst>
                          <a:path w="1064260" h="1485265">
                            <a:moveTo>
                              <a:pt x="0" y="0"/>
                            </a:moveTo>
                            <a:lnTo>
                              <a:pt x="1064260" y="0"/>
                            </a:lnTo>
                            <a:lnTo>
                              <a:pt x="1064260" y="1485265"/>
                            </a:lnTo>
                            <a:lnTo>
                              <a:pt x="0" y="1485265"/>
                            </a:lnTo>
                            <a:lnTo>
                              <a:pt x="0" y="0"/>
                            </a:lnTo>
                          </a:path>
                        </a:pathLst>
                      </a:custGeom>
                      <a:ln w="0" cap="rnd">
                        <a:miter lim="101600"/>
                      </a:ln>
                    </wps:spPr>
                    <wps:style>
                      <a:lnRef idx="0">
                        <a:srgbClr val="000000">
                          <a:alpha val="0"/>
                        </a:srgbClr>
                      </a:lnRef>
                      <a:fillRef idx="1">
                        <a:srgbClr val="ffff99"/>
                      </a:fillRef>
                      <a:effectRef idx="0"/>
                      <a:fontRef idx="none"/>
                    </wps:style>
                    <wps:bodyPr/>
                  </wps:wsp>
                  <wps:wsp>
                    <wps:cNvPr id="6093" name="Shape 6093"/>
                    <wps:cNvSpPr/>
                    <wps:spPr>
                      <a:xfrm>
                        <a:off x="4416425" y="4328034"/>
                        <a:ext cx="1064260" cy="1485265"/>
                      </a:xfrm>
                      <a:custGeom>
                        <a:pathLst>
                          <a:path w="1064260" h="1485265">
                            <a:moveTo>
                              <a:pt x="0" y="1485265"/>
                            </a:moveTo>
                            <a:lnTo>
                              <a:pt x="1064260" y="1485265"/>
                            </a:lnTo>
                            <a:lnTo>
                              <a:pt x="1064260"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094" name="Rectangle 6094"/>
                    <wps:cNvSpPr/>
                    <wps:spPr>
                      <a:xfrm>
                        <a:off x="4513453" y="4379278"/>
                        <a:ext cx="46548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Projec</w:t>
                          </w:r>
                        </w:p>
                      </w:txbxContent>
                    </wps:txbx>
                    <wps:bodyPr horzOverflow="overflow" rtlCol="0" vert="horz" lIns="0" tIns="0" rIns="0" bIns="0">
                      <a:noAutofit/>
                    </wps:bodyPr>
                  </wps:wsp>
                  <wps:wsp>
                    <wps:cNvPr id="6095" name="Rectangle 6095"/>
                    <wps:cNvSpPr/>
                    <wps:spPr>
                      <a:xfrm>
                        <a:off x="4863974" y="4379278"/>
                        <a:ext cx="92909"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t </w:t>
                          </w:r>
                        </w:p>
                      </w:txbxContent>
                    </wps:txbx>
                    <wps:bodyPr horzOverflow="overflow" rtlCol="0" vert="horz" lIns="0" tIns="0" rIns="0" bIns="0">
                      <a:noAutofit/>
                    </wps:bodyPr>
                  </wps:wsp>
                  <wps:wsp>
                    <wps:cNvPr id="6096" name="Rectangle 6096"/>
                    <wps:cNvSpPr/>
                    <wps:spPr>
                      <a:xfrm>
                        <a:off x="4513453" y="4511866"/>
                        <a:ext cx="84644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Component</w:t>
                          </w:r>
                        </w:p>
                      </w:txbxContent>
                    </wps:txbx>
                    <wps:bodyPr horzOverflow="overflow" rtlCol="0" vert="horz" lIns="0" tIns="0" rIns="0" bIns="0">
                      <a:noAutofit/>
                    </wps:bodyPr>
                  </wps:wsp>
                  <wps:wsp>
                    <wps:cNvPr id="6097" name="Rectangle 6097"/>
                    <wps:cNvSpPr/>
                    <wps:spPr>
                      <a:xfrm>
                        <a:off x="5149343" y="4511866"/>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 </w:t>
                          </w:r>
                        </w:p>
                      </w:txbxContent>
                    </wps:txbx>
                    <wps:bodyPr horzOverflow="overflow" rtlCol="0" vert="horz" lIns="0" tIns="0" rIns="0" bIns="0">
                      <a:noAutofit/>
                    </wps:bodyPr>
                  </wps:wsp>
                  <wps:wsp>
                    <wps:cNvPr id="6098" name="Rectangle 6098"/>
                    <wps:cNvSpPr/>
                    <wps:spPr>
                      <a:xfrm>
                        <a:off x="5181346" y="4511866"/>
                        <a:ext cx="8454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3</w:t>
                          </w:r>
                        </w:p>
                      </w:txbxContent>
                    </wps:txbx>
                    <wps:bodyPr horzOverflow="overflow" rtlCol="0" vert="horz" lIns="0" tIns="0" rIns="0" bIns="0">
                      <a:noAutofit/>
                    </wps:bodyPr>
                  </wps:wsp>
                  <wps:wsp>
                    <wps:cNvPr id="6099" name="Rectangle 6099"/>
                    <wps:cNvSpPr/>
                    <wps:spPr>
                      <a:xfrm>
                        <a:off x="5245354" y="4511866"/>
                        <a:ext cx="50624"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w:t>
                          </w:r>
                        </w:p>
                      </w:txbxContent>
                    </wps:txbx>
                    <wps:bodyPr horzOverflow="overflow" rtlCol="0" vert="horz" lIns="0" tIns="0" rIns="0" bIns="0">
                      <a:noAutofit/>
                    </wps:bodyPr>
                  </wps:wsp>
                  <wps:wsp>
                    <wps:cNvPr id="6100" name="Rectangle 6100"/>
                    <wps:cNvSpPr/>
                    <wps:spPr>
                      <a:xfrm>
                        <a:off x="5281931" y="4511866"/>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sz w:val="18"/>
                            </w:rPr>
                            <w:t xml:space="preserve"> </w:t>
                          </w:r>
                        </w:p>
                      </w:txbxContent>
                    </wps:txbx>
                    <wps:bodyPr horzOverflow="overflow" rtlCol="0" vert="horz" lIns="0" tIns="0" rIns="0" bIns="0">
                      <a:noAutofit/>
                    </wps:bodyPr>
                  </wps:wsp>
                  <wps:wsp>
                    <wps:cNvPr id="6101" name="Rectangle 6101"/>
                    <wps:cNvSpPr/>
                    <wps:spPr>
                      <a:xfrm>
                        <a:off x="4513453" y="4668242"/>
                        <a:ext cx="61287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Promote </w:t>
                          </w:r>
                        </w:p>
                      </w:txbxContent>
                    </wps:txbx>
                    <wps:bodyPr horzOverflow="overflow" rtlCol="0" vert="horz" lIns="0" tIns="0" rIns="0" bIns="0">
                      <a:noAutofit/>
                    </wps:bodyPr>
                  </wps:wsp>
                  <wps:wsp>
                    <wps:cNvPr id="6102" name="Rectangle 6102"/>
                    <wps:cNvSpPr/>
                    <wps:spPr>
                      <a:xfrm>
                        <a:off x="4513453" y="4811498"/>
                        <a:ext cx="606989"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inclusive </w:t>
                          </w:r>
                        </w:p>
                      </w:txbxContent>
                    </wps:txbx>
                    <wps:bodyPr horzOverflow="overflow" rtlCol="0" vert="horz" lIns="0" tIns="0" rIns="0" bIns="0">
                      <a:noAutofit/>
                    </wps:bodyPr>
                  </wps:wsp>
                  <wps:wsp>
                    <wps:cNvPr id="6103" name="Rectangle 6103"/>
                    <wps:cNvSpPr/>
                    <wps:spPr>
                      <a:xfrm>
                        <a:off x="4513453" y="4953230"/>
                        <a:ext cx="103026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participation in </w:t>
                          </w:r>
                        </w:p>
                      </w:txbxContent>
                    </wps:txbx>
                    <wps:bodyPr horzOverflow="overflow" rtlCol="0" vert="horz" lIns="0" tIns="0" rIns="0" bIns="0">
                      <a:noAutofit/>
                    </wps:bodyPr>
                  </wps:wsp>
                  <wps:wsp>
                    <wps:cNvPr id="6104" name="Rectangle 6104"/>
                    <wps:cNvSpPr/>
                    <wps:spPr>
                      <a:xfrm>
                        <a:off x="4513453" y="5096486"/>
                        <a:ext cx="83797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political and </w:t>
                          </w:r>
                        </w:p>
                      </w:txbxContent>
                    </wps:txbx>
                    <wps:bodyPr horzOverflow="overflow" rtlCol="0" vert="horz" lIns="0" tIns="0" rIns="0" bIns="0">
                      <a:noAutofit/>
                    </wps:bodyPr>
                  </wps:wsp>
                  <wps:wsp>
                    <wps:cNvPr id="6105" name="Rectangle 6105"/>
                    <wps:cNvSpPr/>
                    <wps:spPr>
                      <a:xfrm>
                        <a:off x="4513453" y="5239742"/>
                        <a:ext cx="590671"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electoral </w:t>
                          </w:r>
                        </w:p>
                      </w:txbxContent>
                    </wps:txbx>
                    <wps:bodyPr horzOverflow="overflow" rtlCol="0" vert="horz" lIns="0" tIns="0" rIns="0" bIns="0">
                      <a:noAutofit/>
                    </wps:bodyPr>
                  </wps:wsp>
                  <wps:wsp>
                    <wps:cNvPr id="6106" name="Rectangle 6106"/>
                    <wps:cNvSpPr/>
                    <wps:spPr>
                      <a:xfrm>
                        <a:off x="4513453" y="5382998"/>
                        <a:ext cx="622131"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processes</w:t>
                          </w:r>
                        </w:p>
                      </w:txbxContent>
                    </wps:txbx>
                    <wps:bodyPr horzOverflow="overflow" rtlCol="0" vert="horz" lIns="0" tIns="0" rIns="0" bIns="0">
                      <a:noAutofit/>
                    </wps:bodyPr>
                  </wps:wsp>
                  <wps:wsp>
                    <wps:cNvPr id="6107" name="Rectangle 6107"/>
                    <wps:cNvSpPr/>
                    <wps:spPr>
                      <a:xfrm>
                        <a:off x="4983226" y="5351225"/>
                        <a:ext cx="46741" cy="187581"/>
                      </a:xfrm>
                      <a:prstGeom prst="rect">
                        <a:avLst/>
                      </a:prstGeom>
                      <a:ln>
                        <a:noFill/>
                      </a:ln>
                    </wps:spPr>
                    <wps:txbx>
                      <w:txbxContent>
                        <w:p>
                          <w:pPr>
                            <w:spacing w:before="0" w:after="160" w:line="259" w:lineRule="auto"/>
                            <w:ind w:left="0" w:right="0" w:firstLine="0"/>
                            <w:jc w:val="left"/>
                          </w:pPr>
                          <w:r>
                            <w:rPr>
                              <w:rFonts w:cs="Arial" w:hAnsi="Arial" w:eastAsia="Arial" w:ascii="Arial"/>
                              <w:sz w:val="20"/>
                            </w:rPr>
                            <w:t xml:space="preserve"> </w:t>
                          </w:r>
                        </w:p>
                      </w:txbxContent>
                    </wps:txbx>
                    <wps:bodyPr horzOverflow="overflow" rtlCol="0" vert="horz" lIns="0" tIns="0" rIns="0" bIns="0">
                      <a:noAutofit/>
                    </wps:bodyPr>
                  </wps:wsp>
                  <wps:wsp>
                    <wps:cNvPr id="6108" name="Rectangle 6108"/>
                    <wps:cNvSpPr/>
                    <wps:spPr>
                      <a:xfrm>
                        <a:off x="4513453" y="5505149"/>
                        <a:ext cx="46741" cy="187581"/>
                      </a:xfrm>
                      <a:prstGeom prst="rect">
                        <a:avLst/>
                      </a:prstGeom>
                      <a:ln>
                        <a:noFill/>
                      </a:ln>
                    </wps:spPr>
                    <wps:txbx>
                      <w:txbxContent>
                        <w:p>
                          <w:pPr>
                            <w:spacing w:before="0" w:after="160" w:line="259" w:lineRule="auto"/>
                            <w:ind w:left="0" w:right="0" w:firstLine="0"/>
                            <w:jc w:val="left"/>
                          </w:pPr>
                          <w:r>
                            <w:rPr>
                              <w:rFonts w:cs="Arial" w:hAnsi="Arial" w:eastAsia="Arial" w:ascii="Arial"/>
                              <w:b w:val="1"/>
                              <w:sz w:val="20"/>
                            </w:rPr>
                            <w:t xml:space="preserve"> </w:t>
                          </w:r>
                        </w:p>
                      </w:txbxContent>
                    </wps:txbx>
                    <wps:bodyPr horzOverflow="overflow" rtlCol="0" vert="horz" lIns="0" tIns="0" rIns="0" bIns="0">
                      <a:noAutofit/>
                    </wps:bodyPr>
                  </wps:wsp>
                  <wps:wsp>
                    <wps:cNvPr id="172410" name="Shape 172410"/>
                    <wps:cNvSpPr/>
                    <wps:spPr>
                      <a:xfrm>
                        <a:off x="5841365" y="4380104"/>
                        <a:ext cx="959485" cy="1509395"/>
                      </a:xfrm>
                      <a:custGeom>
                        <a:pathLst>
                          <a:path w="959485" h="1509395">
                            <a:moveTo>
                              <a:pt x="0" y="0"/>
                            </a:moveTo>
                            <a:lnTo>
                              <a:pt x="959485" y="0"/>
                            </a:lnTo>
                            <a:lnTo>
                              <a:pt x="959485" y="1509395"/>
                            </a:lnTo>
                            <a:lnTo>
                              <a:pt x="0" y="1509395"/>
                            </a:lnTo>
                            <a:lnTo>
                              <a:pt x="0" y="0"/>
                            </a:lnTo>
                          </a:path>
                        </a:pathLst>
                      </a:custGeom>
                      <a:ln w="0" cap="rnd">
                        <a:miter lim="101600"/>
                      </a:ln>
                    </wps:spPr>
                    <wps:style>
                      <a:lnRef idx="0">
                        <a:srgbClr val="000000">
                          <a:alpha val="0"/>
                        </a:srgbClr>
                      </a:lnRef>
                      <a:fillRef idx="1">
                        <a:srgbClr val="808080">
                          <a:alpha val="50196"/>
                        </a:srgbClr>
                      </a:fillRef>
                      <a:effectRef idx="0"/>
                      <a:fontRef idx="none"/>
                    </wps:style>
                    <wps:bodyPr/>
                  </wps:wsp>
                  <wps:wsp>
                    <wps:cNvPr id="172411" name="Shape 172411"/>
                    <wps:cNvSpPr/>
                    <wps:spPr>
                      <a:xfrm>
                        <a:off x="5765165" y="4303904"/>
                        <a:ext cx="959485" cy="1509395"/>
                      </a:xfrm>
                      <a:custGeom>
                        <a:pathLst>
                          <a:path w="959485" h="1509395">
                            <a:moveTo>
                              <a:pt x="0" y="0"/>
                            </a:moveTo>
                            <a:lnTo>
                              <a:pt x="959485" y="0"/>
                            </a:lnTo>
                            <a:lnTo>
                              <a:pt x="959485" y="1509395"/>
                            </a:lnTo>
                            <a:lnTo>
                              <a:pt x="0" y="1509395"/>
                            </a:lnTo>
                            <a:lnTo>
                              <a:pt x="0" y="0"/>
                            </a:lnTo>
                          </a:path>
                        </a:pathLst>
                      </a:custGeom>
                      <a:ln w="0" cap="rnd">
                        <a:miter lim="101600"/>
                      </a:ln>
                    </wps:spPr>
                    <wps:style>
                      <a:lnRef idx="0">
                        <a:srgbClr val="000000">
                          <a:alpha val="0"/>
                        </a:srgbClr>
                      </a:lnRef>
                      <a:fillRef idx="1">
                        <a:srgbClr val="ffff99"/>
                      </a:fillRef>
                      <a:effectRef idx="0"/>
                      <a:fontRef idx="none"/>
                    </wps:style>
                    <wps:bodyPr/>
                  </wps:wsp>
                  <wps:wsp>
                    <wps:cNvPr id="6111" name="Shape 6111"/>
                    <wps:cNvSpPr/>
                    <wps:spPr>
                      <a:xfrm>
                        <a:off x="5765165" y="4303904"/>
                        <a:ext cx="959485" cy="1509395"/>
                      </a:xfrm>
                      <a:custGeom>
                        <a:pathLst>
                          <a:path w="959485" h="1509395">
                            <a:moveTo>
                              <a:pt x="0" y="1509395"/>
                            </a:moveTo>
                            <a:lnTo>
                              <a:pt x="959485" y="1509395"/>
                            </a:lnTo>
                            <a:lnTo>
                              <a:pt x="959485"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112" name="Rectangle 6112"/>
                    <wps:cNvSpPr/>
                    <wps:spPr>
                      <a:xfrm>
                        <a:off x="5862575" y="4356418"/>
                        <a:ext cx="55882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Project </w:t>
                          </w:r>
                        </w:p>
                      </w:txbxContent>
                    </wps:txbx>
                    <wps:bodyPr horzOverflow="overflow" rtlCol="0" vert="horz" lIns="0" tIns="0" rIns="0" bIns="0">
                      <a:noAutofit/>
                    </wps:bodyPr>
                  </wps:wsp>
                  <wps:wsp>
                    <wps:cNvPr id="6113" name="Rectangle 6113"/>
                    <wps:cNvSpPr/>
                    <wps:spPr>
                      <a:xfrm>
                        <a:off x="5862575" y="4487483"/>
                        <a:ext cx="846442"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Component</w:t>
                          </w:r>
                        </w:p>
                      </w:txbxContent>
                    </wps:txbx>
                    <wps:bodyPr horzOverflow="overflow" rtlCol="0" vert="horz" lIns="0" tIns="0" rIns="0" bIns="0">
                      <a:noAutofit/>
                    </wps:bodyPr>
                  </wps:wsp>
                  <wps:wsp>
                    <wps:cNvPr id="6114" name="Rectangle 6114"/>
                    <wps:cNvSpPr/>
                    <wps:spPr>
                      <a:xfrm>
                        <a:off x="6498336" y="4487483"/>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 </w:t>
                          </w:r>
                        </w:p>
                      </w:txbxContent>
                    </wps:txbx>
                    <wps:bodyPr horzOverflow="overflow" rtlCol="0" vert="horz" lIns="0" tIns="0" rIns="0" bIns="0">
                      <a:noAutofit/>
                    </wps:bodyPr>
                  </wps:wsp>
                  <wps:wsp>
                    <wps:cNvPr id="6115" name="Rectangle 6115"/>
                    <wps:cNvSpPr/>
                    <wps:spPr>
                      <a:xfrm>
                        <a:off x="5862575" y="4618547"/>
                        <a:ext cx="84546"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4</w:t>
                          </w:r>
                        </w:p>
                      </w:txbxContent>
                    </wps:txbx>
                    <wps:bodyPr horzOverflow="overflow" rtlCol="0" vert="horz" lIns="0" tIns="0" rIns="0" bIns="0">
                      <a:noAutofit/>
                    </wps:bodyPr>
                  </wps:wsp>
                  <wps:wsp>
                    <wps:cNvPr id="6116" name="Rectangle 6116"/>
                    <wps:cNvSpPr/>
                    <wps:spPr>
                      <a:xfrm>
                        <a:off x="5926582" y="4618547"/>
                        <a:ext cx="50624" cy="16950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8"/>
                            </w:rPr>
                            <w:t xml:space="preserve">:</w:t>
                          </w:r>
                        </w:p>
                      </w:txbxContent>
                    </wps:txbx>
                    <wps:bodyPr horzOverflow="overflow" rtlCol="0" vert="horz" lIns="0" tIns="0" rIns="0" bIns="0">
                      <a:noAutofit/>
                    </wps:bodyPr>
                  </wps:wsp>
                  <wps:wsp>
                    <wps:cNvPr id="6117" name="Rectangle 6117"/>
                    <wps:cNvSpPr/>
                    <wps:spPr>
                      <a:xfrm>
                        <a:off x="5964682" y="4618547"/>
                        <a:ext cx="42236" cy="169501"/>
                      </a:xfrm>
                      <a:prstGeom prst="rect">
                        <a:avLst/>
                      </a:prstGeom>
                      <a:ln>
                        <a:noFill/>
                      </a:ln>
                    </wps:spPr>
                    <wps:txbx>
                      <w:txbxContent>
                        <w:p>
                          <w:pPr>
                            <w:spacing w:before="0" w:after="160" w:line="259" w:lineRule="auto"/>
                            <w:ind w:left="0" w:right="0" w:firstLine="0"/>
                            <w:jc w:val="left"/>
                          </w:pPr>
                          <w:r>
                            <w:rPr>
                              <w:rFonts w:cs="Arial" w:hAnsi="Arial" w:eastAsia="Arial" w:ascii="Arial"/>
                              <w:sz w:val="18"/>
                            </w:rPr>
                            <w:t xml:space="preserve"> </w:t>
                          </w:r>
                        </w:p>
                      </w:txbxContent>
                    </wps:txbx>
                    <wps:bodyPr horzOverflow="overflow" rtlCol="0" vert="horz" lIns="0" tIns="0" rIns="0" bIns="0">
                      <a:noAutofit/>
                    </wps:bodyPr>
                  </wps:wsp>
                  <wps:wsp>
                    <wps:cNvPr id="6118" name="Rectangle 6118"/>
                    <wps:cNvSpPr/>
                    <wps:spPr>
                      <a:xfrm>
                        <a:off x="5862575" y="4774922"/>
                        <a:ext cx="56711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Support </w:t>
                          </w:r>
                        </w:p>
                      </w:txbxContent>
                    </wps:txbx>
                    <wps:bodyPr horzOverflow="overflow" rtlCol="0" vert="horz" lIns="0" tIns="0" rIns="0" bIns="0">
                      <a:noAutofit/>
                    </wps:bodyPr>
                  </wps:wsp>
                  <wps:wsp>
                    <wps:cNvPr id="6119" name="Rectangle 6119"/>
                    <wps:cNvSpPr/>
                    <wps:spPr>
                      <a:xfrm>
                        <a:off x="5862575" y="4918178"/>
                        <a:ext cx="971554"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national peace </w:t>
                          </w:r>
                        </w:p>
                      </w:txbxContent>
                    </wps:txbx>
                    <wps:bodyPr horzOverflow="overflow" rtlCol="0" vert="horz" lIns="0" tIns="0" rIns="0" bIns="0">
                      <a:noAutofit/>
                    </wps:bodyPr>
                  </wps:wsp>
                  <wps:wsp>
                    <wps:cNvPr id="6120" name="Rectangle 6120"/>
                    <wps:cNvSpPr/>
                    <wps:spPr>
                      <a:xfrm>
                        <a:off x="5862575" y="5061434"/>
                        <a:ext cx="92478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infrastructure </w:t>
                          </w:r>
                        </w:p>
                      </w:txbxContent>
                    </wps:txbx>
                    <wps:bodyPr horzOverflow="overflow" rtlCol="0" vert="horz" lIns="0" tIns="0" rIns="0" bIns="0">
                      <a:noAutofit/>
                    </wps:bodyPr>
                  </wps:wsp>
                  <wps:wsp>
                    <wps:cNvPr id="6121" name="Rectangle 6121"/>
                    <wps:cNvSpPr/>
                    <wps:spPr>
                      <a:xfrm>
                        <a:off x="5862575" y="5204690"/>
                        <a:ext cx="102000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to mitigate and </w:t>
                          </w:r>
                        </w:p>
                      </w:txbxContent>
                    </wps:txbx>
                    <wps:bodyPr horzOverflow="overflow" rtlCol="0" vert="horz" lIns="0" tIns="0" rIns="0" bIns="0">
                      <a:noAutofit/>
                    </wps:bodyPr>
                  </wps:wsp>
                  <wps:wsp>
                    <wps:cNvPr id="6122" name="Rectangle 6122"/>
                    <wps:cNvSpPr/>
                    <wps:spPr>
                      <a:xfrm>
                        <a:off x="5862575" y="5346422"/>
                        <a:ext cx="503525"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resolve </w:t>
                          </w:r>
                        </w:p>
                      </w:txbxContent>
                    </wps:txbx>
                    <wps:bodyPr horzOverflow="overflow" rtlCol="0" vert="horz" lIns="0" tIns="0" rIns="0" bIns="0">
                      <a:noAutofit/>
                    </wps:bodyPr>
                  </wps:wsp>
                  <wps:wsp>
                    <wps:cNvPr id="6123" name="Rectangle 6123"/>
                    <wps:cNvSpPr/>
                    <wps:spPr>
                      <a:xfrm>
                        <a:off x="5862575" y="5489678"/>
                        <a:ext cx="509077"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election</w:t>
                          </w:r>
                        </w:p>
                      </w:txbxContent>
                    </wps:txbx>
                    <wps:bodyPr horzOverflow="overflow" rtlCol="0" vert="horz" lIns="0" tIns="0" rIns="0" bIns="0">
                      <a:noAutofit/>
                    </wps:bodyPr>
                  </wps:wsp>
                  <wps:wsp>
                    <wps:cNvPr id="6124" name="Rectangle 6124"/>
                    <wps:cNvSpPr/>
                    <wps:spPr>
                      <a:xfrm>
                        <a:off x="6245098" y="5489678"/>
                        <a:ext cx="5265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w:t>
                          </w:r>
                        </w:p>
                      </w:txbxContent>
                    </wps:txbx>
                    <wps:bodyPr horzOverflow="overflow" rtlCol="0" vert="horz" lIns="0" tIns="0" rIns="0" bIns="0">
                      <a:noAutofit/>
                    </wps:bodyPr>
                  </wps:wsp>
                  <wps:wsp>
                    <wps:cNvPr id="6125" name="Rectangle 6125"/>
                    <wps:cNvSpPr/>
                    <wps:spPr>
                      <a:xfrm>
                        <a:off x="6284722" y="5489678"/>
                        <a:ext cx="481318" cy="154270"/>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related </w:t>
                          </w:r>
                        </w:p>
                      </w:txbxContent>
                    </wps:txbx>
                    <wps:bodyPr horzOverflow="overflow" rtlCol="0" vert="horz" lIns="0" tIns="0" rIns="0" bIns="0">
                      <a:noAutofit/>
                    </wps:bodyPr>
                  </wps:wsp>
                  <wps:wsp>
                    <wps:cNvPr id="6126" name="Rectangle 6126"/>
                    <wps:cNvSpPr/>
                    <wps:spPr>
                      <a:xfrm>
                        <a:off x="5862575" y="5634458"/>
                        <a:ext cx="554164" cy="154271"/>
                      </a:xfrm>
                      <a:prstGeom prst="rect">
                        <a:avLst/>
                      </a:prstGeom>
                      <a:ln>
                        <a:noFill/>
                      </a:ln>
                    </wps:spPr>
                    <wps:txbx>
                      <w:txbxContent>
                        <w:p>
                          <w:pPr>
                            <w:spacing w:before="0" w:after="160" w:line="259" w:lineRule="auto"/>
                            <w:ind w:left="0" w:right="0" w:firstLine="0"/>
                            <w:jc w:val="left"/>
                          </w:pPr>
                          <w:r>
                            <w:rPr>
                              <w:rFonts w:cs="Garamond" w:hAnsi="Garamond" w:eastAsia="Garamond" w:ascii="Garamond"/>
                              <w:sz w:val="20"/>
                            </w:rPr>
                            <w:t xml:space="preserve">conflicts</w:t>
                          </w:r>
                        </w:p>
                      </w:txbxContent>
                    </wps:txbx>
                    <wps:bodyPr horzOverflow="overflow" rtlCol="0" vert="horz" lIns="0" tIns="0" rIns="0" bIns="0">
                      <a:noAutofit/>
                    </wps:bodyPr>
                  </wps:wsp>
                  <wps:wsp>
                    <wps:cNvPr id="6127" name="Rectangle 6127"/>
                    <wps:cNvSpPr/>
                    <wps:spPr>
                      <a:xfrm>
                        <a:off x="6280150" y="5602685"/>
                        <a:ext cx="46741" cy="187581"/>
                      </a:xfrm>
                      <a:prstGeom prst="rect">
                        <a:avLst/>
                      </a:prstGeom>
                      <a:ln>
                        <a:noFill/>
                      </a:ln>
                    </wps:spPr>
                    <wps:txbx>
                      <w:txbxContent>
                        <w:p>
                          <w:pPr>
                            <w:spacing w:before="0" w:after="160" w:line="259" w:lineRule="auto"/>
                            <w:ind w:left="0" w:right="0" w:firstLine="0"/>
                            <w:jc w:val="left"/>
                          </w:pPr>
                          <w:r>
                            <w:rPr>
                              <w:rFonts w:cs="Arial" w:hAnsi="Arial" w:eastAsia="Arial" w:ascii="Arial"/>
                              <w:sz w:val="20"/>
                            </w:rPr>
                            <w:t xml:space="preserve"> </w:t>
                          </w:r>
                        </w:p>
                      </w:txbxContent>
                    </wps:txbx>
                    <wps:bodyPr horzOverflow="overflow" rtlCol="0" vert="horz" lIns="0" tIns="0" rIns="0" bIns="0">
                      <a:noAutofit/>
                    </wps:bodyPr>
                  </wps:wsp>
                  <wps:wsp>
                    <wps:cNvPr id="6128" name="Shape 6128"/>
                    <wps:cNvSpPr/>
                    <wps:spPr>
                      <a:xfrm>
                        <a:off x="4625340" y="2537334"/>
                        <a:ext cx="1108710" cy="76200"/>
                      </a:xfrm>
                      <a:custGeom>
                        <a:pathLst>
                          <a:path w="1108710" h="76200">
                            <a:moveTo>
                              <a:pt x="76200" y="0"/>
                            </a:moveTo>
                            <a:lnTo>
                              <a:pt x="76200" y="31750"/>
                            </a:lnTo>
                            <a:lnTo>
                              <a:pt x="1102360" y="31750"/>
                            </a:lnTo>
                            <a:cubicBezTo>
                              <a:pt x="1105916" y="31750"/>
                              <a:pt x="1108710" y="34544"/>
                              <a:pt x="1108710" y="38100"/>
                            </a:cubicBezTo>
                            <a:cubicBezTo>
                              <a:pt x="1108710" y="41656"/>
                              <a:pt x="1105916" y="44450"/>
                              <a:pt x="1102360" y="44450"/>
                            </a:cubicBezTo>
                            <a:lnTo>
                              <a:pt x="76200" y="44450"/>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fontRef idx="none"/>
                    </wps:style>
                    <wps:bodyPr/>
                  </wps:wsp>
                  <wps:wsp>
                    <wps:cNvPr id="6129" name="Shape 6129"/>
                    <wps:cNvSpPr/>
                    <wps:spPr>
                      <a:xfrm>
                        <a:off x="2316480" y="904114"/>
                        <a:ext cx="2562860" cy="333375"/>
                      </a:xfrm>
                      <a:custGeom>
                        <a:pathLst>
                          <a:path w="2562860" h="333375">
                            <a:moveTo>
                              <a:pt x="1281430" y="0"/>
                            </a:moveTo>
                            <a:cubicBezTo>
                              <a:pt x="1989201" y="0"/>
                              <a:pt x="2562860" y="74676"/>
                              <a:pt x="2562860" y="166751"/>
                            </a:cubicBezTo>
                            <a:cubicBezTo>
                              <a:pt x="2562860" y="258699"/>
                              <a:pt x="1989201" y="333375"/>
                              <a:pt x="1281430" y="333375"/>
                            </a:cubicBezTo>
                            <a:cubicBezTo>
                              <a:pt x="573659" y="333375"/>
                              <a:pt x="0" y="258699"/>
                              <a:pt x="0" y="166751"/>
                            </a:cubicBezTo>
                            <a:cubicBezTo>
                              <a:pt x="0" y="74676"/>
                              <a:pt x="573659" y="0"/>
                              <a:pt x="1281430" y="0"/>
                            </a:cubicBezTo>
                            <a:close/>
                          </a:path>
                        </a:pathLst>
                      </a:custGeom>
                      <a:ln w="0" cap="rnd">
                        <a:miter lim="101600"/>
                      </a:ln>
                    </wps:spPr>
                    <wps:style>
                      <a:lnRef idx="0">
                        <a:srgbClr val="000000">
                          <a:alpha val="0"/>
                        </a:srgbClr>
                      </a:lnRef>
                      <a:fillRef idx="1">
                        <a:srgbClr val="ffcc00"/>
                      </a:fillRef>
                      <a:effectRef idx="0"/>
                      <a:fontRef idx="none"/>
                    </wps:style>
                    <wps:bodyPr/>
                  </wps:wsp>
                  <wps:wsp>
                    <wps:cNvPr id="6130" name="Shape 6130"/>
                    <wps:cNvSpPr/>
                    <wps:spPr>
                      <a:xfrm>
                        <a:off x="2316480" y="904114"/>
                        <a:ext cx="2562860" cy="333375"/>
                      </a:xfrm>
                      <a:custGeom>
                        <a:pathLst>
                          <a:path w="2562860" h="333375">
                            <a:moveTo>
                              <a:pt x="1281430" y="0"/>
                            </a:moveTo>
                            <a:cubicBezTo>
                              <a:pt x="573659" y="0"/>
                              <a:pt x="0" y="74676"/>
                              <a:pt x="0" y="166751"/>
                            </a:cubicBezTo>
                            <a:cubicBezTo>
                              <a:pt x="0" y="258699"/>
                              <a:pt x="573659" y="333375"/>
                              <a:pt x="1281430" y="333375"/>
                            </a:cubicBezTo>
                            <a:cubicBezTo>
                              <a:pt x="1989201" y="333375"/>
                              <a:pt x="2562860" y="258699"/>
                              <a:pt x="2562860" y="166751"/>
                            </a:cubicBezTo>
                            <a:cubicBezTo>
                              <a:pt x="2562860" y="74676"/>
                              <a:pt x="1989201" y="0"/>
                              <a:pt x="1281430" y="0"/>
                            </a:cubicBezTo>
                            <a:close/>
                          </a:path>
                        </a:pathLst>
                      </a:custGeom>
                      <a:ln w="9525" cap="rnd">
                        <a:round/>
                      </a:ln>
                    </wps:spPr>
                    <wps:style>
                      <a:lnRef idx="1">
                        <a:srgbClr val="000000"/>
                      </a:lnRef>
                      <a:fillRef idx="0">
                        <a:srgbClr val="000000">
                          <a:alpha val="0"/>
                        </a:srgbClr>
                      </a:fillRef>
                      <a:effectRef idx="0"/>
                      <a:fontRef idx="none"/>
                    </wps:style>
                    <wps:bodyPr/>
                  </wps:wsp>
                  <wps:wsp>
                    <wps:cNvPr id="6131" name="Rectangle 6131"/>
                    <wps:cNvSpPr/>
                    <wps:spPr>
                      <a:xfrm>
                        <a:off x="2760599" y="1008507"/>
                        <a:ext cx="2065302" cy="138324"/>
                      </a:xfrm>
                      <a:prstGeom prst="rect">
                        <a:avLst/>
                      </a:prstGeom>
                      <a:ln>
                        <a:noFill/>
                      </a:ln>
                    </wps:spPr>
                    <wps:txbx>
                      <w:txbxContent>
                        <w:p>
                          <w:pPr>
                            <w:spacing w:before="0" w:after="160" w:line="259" w:lineRule="auto"/>
                            <w:ind w:left="0" w:right="0" w:firstLine="0"/>
                            <w:jc w:val="left"/>
                          </w:pPr>
                          <w:r>
                            <w:rPr>
                              <w:sz w:val="16"/>
                            </w:rPr>
                            <w:t xml:space="preserve">Project Oversight and policy guidance</w:t>
                          </w:r>
                        </w:p>
                      </w:txbxContent>
                    </wps:txbx>
                    <wps:bodyPr horzOverflow="overflow" rtlCol="0" vert="horz" lIns="0" tIns="0" rIns="0" bIns="0">
                      <a:noAutofit/>
                    </wps:bodyPr>
                  </wps:wsp>
                  <wps:wsp>
                    <wps:cNvPr id="6132" name="Rectangle 6132"/>
                    <wps:cNvSpPr/>
                    <wps:spPr>
                      <a:xfrm>
                        <a:off x="4315333" y="1008507"/>
                        <a:ext cx="30692" cy="138324"/>
                      </a:xfrm>
                      <a:prstGeom prst="rect">
                        <a:avLst/>
                      </a:prstGeom>
                      <a:ln>
                        <a:noFill/>
                      </a:ln>
                    </wps:spPr>
                    <wps:txbx>
                      <w:txbxContent>
                        <w:p>
                          <w:pPr>
                            <w:spacing w:before="0" w:after="160" w:line="259" w:lineRule="auto"/>
                            <w:ind w:left="0" w:right="0" w:firstLine="0"/>
                            <w:jc w:val="left"/>
                          </w:pPr>
                          <w:r>
                            <w:rPr>
                              <w:sz w:val="16"/>
                            </w:rPr>
                            <w:t xml:space="preserve"> </w:t>
                          </w:r>
                        </w:p>
                      </w:txbxContent>
                    </wps:txbx>
                    <wps:bodyPr horzOverflow="overflow" rtlCol="0" vert="horz" lIns="0" tIns="0" rIns="0" bIns="0">
                      <a:noAutofit/>
                    </wps:bodyPr>
                  </wps:wsp>
                  <wps:wsp>
                    <wps:cNvPr id="6133" name="Rectangle 6133"/>
                    <wps:cNvSpPr/>
                    <wps:spPr>
                      <a:xfrm>
                        <a:off x="2760599" y="1115172"/>
                        <a:ext cx="51809" cy="207922"/>
                      </a:xfrm>
                      <a:prstGeom prst="rect">
                        <a:avLst/>
                      </a:prstGeom>
                      <a:ln>
                        <a:noFill/>
                      </a:ln>
                    </wps:spPr>
                    <wps:txbx>
                      <w:txbxContent>
                        <w:p>
                          <w:pPr>
                            <w:spacing w:before="0" w:after="160" w:line="259" w:lineRule="auto"/>
                            <w:ind w:left="0" w:right="0" w:firstLine="0"/>
                            <w:jc w:val="left"/>
                          </w:pPr>
                          <w:r>
                            <w:rPr>
                              <w:rFonts w:cs="Arial" w:hAnsi="Arial" w:eastAsia="Arial" w:ascii="Arial"/>
                              <w:b w:val="1"/>
                            </w:rPr>
                            <w:t xml:space="preserve"> </w:t>
                          </w:r>
                        </w:p>
                      </w:txbxContent>
                    </wps:txbx>
                    <wps:bodyPr horzOverflow="overflow" rtlCol="0" vert="horz" lIns="0" tIns="0" rIns="0" bIns="0">
                      <a:noAutofit/>
                    </wps:bodyPr>
                  </wps:wsp>
                  <wps:wsp>
                    <wps:cNvPr id="6134" name="Shape 6134"/>
                    <wps:cNvSpPr/>
                    <wps:spPr>
                      <a:xfrm>
                        <a:off x="1127760" y="2343659"/>
                        <a:ext cx="815340" cy="443230"/>
                      </a:xfrm>
                      <a:custGeom>
                        <a:pathLst>
                          <a:path w="815340" h="443230">
                            <a:moveTo>
                              <a:pt x="407670" y="0"/>
                            </a:moveTo>
                            <a:cubicBezTo>
                              <a:pt x="632841" y="0"/>
                              <a:pt x="815340" y="99187"/>
                              <a:pt x="815340" y="221615"/>
                            </a:cubicBezTo>
                            <a:cubicBezTo>
                              <a:pt x="815340" y="344043"/>
                              <a:pt x="632841" y="443230"/>
                              <a:pt x="407670" y="443230"/>
                            </a:cubicBezTo>
                            <a:cubicBezTo>
                              <a:pt x="182499" y="443230"/>
                              <a:pt x="0" y="344043"/>
                              <a:pt x="0" y="221615"/>
                            </a:cubicBezTo>
                            <a:cubicBezTo>
                              <a:pt x="0" y="99187"/>
                              <a:pt x="182499" y="0"/>
                              <a:pt x="407670" y="0"/>
                            </a:cubicBezTo>
                            <a:close/>
                          </a:path>
                        </a:pathLst>
                      </a:custGeom>
                      <a:ln w="0" cap="rnd">
                        <a:round/>
                      </a:ln>
                    </wps:spPr>
                    <wps:style>
                      <a:lnRef idx="0">
                        <a:srgbClr val="000000">
                          <a:alpha val="0"/>
                        </a:srgbClr>
                      </a:lnRef>
                      <a:fillRef idx="1">
                        <a:srgbClr val="ffcc00"/>
                      </a:fillRef>
                      <a:effectRef idx="0"/>
                      <a:fontRef idx="none"/>
                    </wps:style>
                    <wps:bodyPr/>
                  </wps:wsp>
                  <wps:wsp>
                    <wps:cNvPr id="6135" name="Shape 6135"/>
                    <wps:cNvSpPr/>
                    <wps:spPr>
                      <a:xfrm>
                        <a:off x="1127760" y="2343659"/>
                        <a:ext cx="815340" cy="443230"/>
                      </a:xfrm>
                      <a:custGeom>
                        <a:pathLst>
                          <a:path w="815340" h="443230">
                            <a:moveTo>
                              <a:pt x="407670" y="0"/>
                            </a:moveTo>
                            <a:cubicBezTo>
                              <a:pt x="182499" y="0"/>
                              <a:pt x="0" y="99187"/>
                              <a:pt x="0" y="221615"/>
                            </a:cubicBezTo>
                            <a:cubicBezTo>
                              <a:pt x="0" y="344043"/>
                              <a:pt x="182499" y="443230"/>
                              <a:pt x="407670" y="443230"/>
                            </a:cubicBezTo>
                            <a:cubicBezTo>
                              <a:pt x="632841" y="443230"/>
                              <a:pt x="815340" y="344043"/>
                              <a:pt x="815340" y="221615"/>
                            </a:cubicBezTo>
                            <a:cubicBezTo>
                              <a:pt x="815340" y="99187"/>
                              <a:pt x="632841" y="0"/>
                              <a:pt x="407670" y="0"/>
                            </a:cubicBezTo>
                            <a:close/>
                          </a:path>
                        </a:pathLst>
                      </a:custGeom>
                      <a:ln w="9525" cap="rnd">
                        <a:round/>
                      </a:ln>
                    </wps:spPr>
                    <wps:style>
                      <a:lnRef idx="1">
                        <a:srgbClr val="000000"/>
                      </a:lnRef>
                      <a:fillRef idx="0">
                        <a:srgbClr val="000000">
                          <a:alpha val="0"/>
                        </a:srgbClr>
                      </a:fillRef>
                      <a:effectRef idx="0"/>
                      <a:fontRef idx="none"/>
                    </wps:style>
                    <wps:bodyPr/>
                  </wps:wsp>
                  <wps:wsp>
                    <wps:cNvPr id="6136" name="Rectangle 6136"/>
                    <wps:cNvSpPr/>
                    <wps:spPr>
                      <a:xfrm>
                        <a:off x="1315466" y="2464309"/>
                        <a:ext cx="515918" cy="138324"/>
                      </a:xfrm>
                      <a:prstGeom prst="rect">
                        <a:avLst/>
                      </a:prstGeom>
                      <a:ln>
                        <a:noFill/>
                      </a:ln>
                    </wps:spPr>
                    <wps:txbx>
                      <w:txbxContent>
                        <w:p>
                          <w:pPr>
                            <w:spacing w:before="0" w:after="160" w:line="259" w:lineRule="auto"/>
                            <w:ind w:left="0" w:right="0" w:firstLine="0"/>
                            <w:jc w:val="left"/>
                          </w:pPr>
                          <w:r>
                            <w:rPr>
                              <w:sz w:val="16"/>
                            </w:rPr>
                            <w:t xml:space="preserve">Technical</w:t>
                          </w:r>
                        </w:p>
                      </w:txbxContent>
                    </wps:txbx>
                    <wps:bodyPr horzOverflow="overflow" rtlCol="0" vert="horz" lIns="0" tIns="0" rIns="0" bIns="0">
                      <a:noAutofit/>
                    </wps:bodyPr>
                  </wps:wsp>
                  <wps:wsp>
                    <wps:cNvPr id="6137" name="Rectangle 6137"/>
                    <wps:cNvSpPr/>
                    <wps:spPr>
                      <a:xfrm>
                        <a:off x="1704086" y="2464309"/>
                        <a:ext cx="30692" cy="138324"/>
                      </a:xfrm>
                      <a:prstGeom prst="rect">
                        <a:avLst/>
                      </a:prstGeom>
                      <a:ln>
                        <a:noFill/>
                      </a:ln>
                    </wps:spPr>
                    <wps:txbx>
                      <w:txbxContent>
                        <w:p>
                          <w:pPr>
                            <w:spacing w:before="0" w:after="160" w:line="259" w:lineRule="auto"/>
                            <w:ind w:left="0" w:right="0" w:firstLine="0"/>
                            <w:jc w:val="left"/>
                          </w:pPr>
                          <w:r>
                            <w:rPr>
                              <w:sz w:val="16"/>
                            </w:rPr>
                            <w:t xml:space="preserve"> </w:t>
                          </w:r>
                        </w:p>
                      </w:txbxContent>
                    </wps:txbx>
                    <wps:bodyPr horzOverflow="overflow" rtlCol="0" vert="horz" lIns="0" tIns="0" rIns="0" bIns="0">
                      <a:noAutofit/>
                    </wps:bodyPr>
                  </wps:wsp>
                  <wps:wsp>
                    <wps:cNvPr id="6138" name="Rectangle 6138"/>
                    <wps:cNvSpPr/>
                    <wps:spPr>
                      <a:xfrm>
                        <a:off x="1315466" y="2589276"/>
                        <a:ext cx="365448" cy="138324"/>
                      </a:xfrm>
                      <a:prstGeom prst="rect">
                        <a:avLst/>
                      </a:prstGeom>
                      <a:ln>
                        <a:noFill/>
                      </a:ln>
                    </wps:spPr>
                    <wps:txbx>
                      <w:txbxContent>
                        <w:p>
                          <w:pPr>
                            <w:spacing w:before="0" w:after="160" w:line="259" w:lineRule="auto"/>
                            <w:ind w:left="0" w:right="0" w:firstLine="0"/>
                            <w:jc w:val="left"/>
                          </w:pPr>
                          <w:r>
                            <w:rPr>
                              <w:sz w:val="16"/>
                            </w:rPr>
                            <w:t xml:space="preserve">Advice</w:t>
                          </w:r>
                        </w:p>
                      </w:txbxContent>
                    </wps:txbx>
                    <wps:bodyPr horzOverflow="overflow" rtlCol="0" vert="horz" lIns="0" tIns="0" rIns="0" bIns="0">
                      <a:noAutofit/>
                    </wps:bodyPr>
                  </wps:wsp>
                  <wps:wsp>
                    <wps:cNvPr id="6139" name="Rectangle 6139"/>
                    <wps:cNvSpPr/>
                    <wps:spPr>
                      <a:xfrm>
                        <a:off x="1589786" y="2560701"/>
                        <a:ext cx="42144" cy="189937"/>
                      </a:xfrm>
                      <a:prstGeom prst="rect">
                        <a:avLst/>
                      </a:prstGeom>
                      <a:ln>
                        <a:noFill/>
                      </a:ln>
                    </wps:spPr>
                    <wps:txbx>
                      <w:txbxContent>
                        <w:p>
                          <w:pPr>
                            <w:spacing w:before="0" w:after="160" w:line="259" w:lineRule="auto"/>
                            <w:ind w:left="0" w:right="0" w:firstLine="0"/>
                            <w:jc w:val="left"/>
                          </w:pPr>
                          <w:r>
                            <w:rPr/>
                            <w:t xml:space="preserve"> </w:t>
                          </w:r>
                        </w:p>
                      </w:txbxContent>
                    </wps:txbx>
                    <wps:bodyPr horzOverflow="overflow" rtlCol="0" vert="horz" lIns="0" tIns="0" rIns="0" bIns="0">
                      <a:noAutofit/>
                    </wps:bodyPr>
                  </wps:wsp>
                  <wps:wsp>
                    <wps:cNvPr id="6140" name="Shape 6140"/>
                    <wps:cNvSpPr/>
                    <wps:spPr>
                      <a:xfrm>
                        <a:off x="4794885" y="2370329"/>
                        <a:ext cx="831850" cy="443230"/>
                      </a:xfrm>
                      <a:custGeom>
                        <a:pathLst>
                          <a:path w="831850" h="443230">
                            <a:moveTo>
                              <a:pt x="415925" y="0"/>
                            </a:moveTo>
                            <a:cubicBezTo>
                              <a:pt x="645668" y="0"/>
                              <a:pt x="831850" y="99187"/>
                              <a:pt x="831850" y="221614"/>
                            </a:cubicBezTo>
                            <a:cubicBezTo>
                              <a:pt x="831850" y="344043"/>
                              <a:pt x="645668" y="443230"/>
                              <a:pt x="415925" y="443230"/>
                            </a:cubicBezTo>
                            <a:cubicBezTo>
                              <a:pt x="186182" y="443230"/>
                              <a:pt x="0" y="344043"/>
                              <a:pt x="0" y="221614"/>
                            </a:cubicBezTo>
                            <a:cubicBezTo>
                              <a:pt x="0" y="99187"/>
                              <a:pt x="186182" y="0"/>
                              <a:pt x="415925" y="0"/>
                            </a:cubicBezTo>
                            <a:close/>
                          </a:path>
                        </a:pathLst>
                      </a:custGeom>
                      <a:ln w="0" cap="rnd">
                        <a:round/>
                      </a:ln>
                    </wps:spPr>
                    <wps:style>
                      <a:lnRef idx="0">
                        <a:srgbClr val="000000">
                          <a:alpha val="0"/>
                        </a:srgbClr>
                      </a:lnRef>
                      <a:fillRef idx="1">
                        <a:srgbClr val="ffcc00"/>
                      </a:fillRef>
                      <a:effectRef idx="0"/>
                      <a:fontRef idx="none"/>
                    </wps:style>
                    <wps:bodyPr/>
                  </wps:wsp>
                  <wps:wsp>
                    <wps:cNvPr id="6141" name="Shape 6141"/>
                    <wps:cNvSpPr/>
                    <wps:spPr>
                      <a:xfrm>
                        <a:off x="4794885" y="2370329"/>
                        <a:ext cx="831850" cy="443230"/>
                      </a:xfrm>
                      <a:custGeom>
                        <a:pathLst>
                          <a:path w="831850" h="443230">
                            <a:moveTo>
                              <a:pt x="415925" y="0"/>
                            </a:moveTo>
                            <a:cubicBezTo>
                              <a:pt x="186182" y="0"/>
                              <a:pt x="0" y="99187"/>
                              <a:pt x="0" y="221614"/>
                            </a:cubicBezTo>
                            <a:cubicBezTo>
                              <a:pt x="0" y="344043"/>
                              <a:pt x="186182" y="443230"/>
                              <a:pt x="415925" y="443230"/>
                            </a:cubicBezTo>
                            <a:cubicBezTo>
                              <a:pt x="645668" y="443230"/>
                              <a:pt x="831850" y="344043"/>
                              <a:pt x="831850" y="221614"/>
                            </a:cubicBezTo>
                            <a:cubicBezTo>
                              <a:pt x="831850" y="99187"/>
                              <a:pt x="645668" y="0"/>
                              <a:pt x="415925" y="0"/>
                            </a:cubicBezTo>
                            <a:close/>
                          </a:path>
                        </a:pathLst>
                      </a:custGeom>
                      <a:ln w="9525" cap="rnd">
                        <a:round/>
                      </a:ln>
                    </wps:spPr>
                    <wps:style>
                      <a:lnRef idx="1">
                        <a:srgbClr val="000000"/>
                      </a:lnRef>
                      <a:fillRef idx="0">
                        <a:srgbClr val="000000">
                          <a:alpha val="0"/>
                        </a:srgbClr>
                      </a:fillRef>
                      <a:effectRef idx="0"/>
                      <a:fontRef idx="none"/>
                    </wps:style>
                    <wps:bodyPr/>
                  </wps:wsp>
                  <wps:wsp>
                    <wps:cNvPr id="6142" name="Rectangle 6142"/>
                    <wps:cNvSpPr/>
                    <wps:spPr>
                      <a:xfrm>
                        <a:off x="4986275" y="2491740"/>
                        <a:ext cx="66136" cy="138324"/>
                      </a:xfrm>
                      <a:prstGeom prst="rect">
                        <a:avLst/>
                      </a:prstGeom>
                      <a:ln>
                        <a:noFill/>
                      </a:ln>
                    </wps:spPr>
                    <wps:txbx>
                      <w:txbxContent>
                        <w:p>
                          <w:pPr>
                            <w:spacing w:before="0" w:after="160" w:line="259" w:lineRule="auto"/>
                            <w:ind w:left="0" w:right="0" w:firstLine="0"/>
                            <w:jc w:val="left"/>
                          </w:pPr>
                          <w:r>
                            <w:rPr>
                              <w:sz w:val="16"/>
                            </w:rPr>
                            <w:t xml:space="preserve">T</w:t>
                          </w:r>
                        </w:p>
                      </w:txbxContent>
                    </wps:txbx>
                    <wps:bodyPr horzOverflow="overflow" rtlCol="0" vert="horz" lIns="0" tIns="0" rIns="0" bIns="0">
                      <a:noAutofit/>
                    </wps:bodyPr>
                  </wps:wsp>
                  <wps:wsp>
                    <wps:cNvPr id="6143" name="Rectangle 6143"/>
                    <wps:cNvSpPr/>
                    <wps:spPr>
                      <a:xfrm>
                        <a:off x="5036566" y="2491740"/>
                        <a:ext cx="478708" cy="138324"/>
                      </a:xfrm>
                      <a:prstGeom prst="rect">
                        <a:avLst/>
                      </a:prstGeom>
                      <a:ln>
                        <a:noFill/>
                      </a:ln>
                    </wps:spPr>
                    <wps:txbx>
                      <w:txbxContent>
                        <w:p>
                          <w:pPr>
                            <w:spacing w:before="0" w:after="160" w:line="259" w:lineRule="auto"/>
                            <w:ind w:left="0" w:right="0" w:firstLine="0"/>
                            <w:jc w:val="left"/>
                          </w:pPr>
                          <w:r>
                            <w:rPr>
                              <w:sz w:val="16"/>
                            </w:rPr>
                            <w:t xml:space="preserve">echnical </w:t>
                          </w:r>
                        </w:p>
                      </w:txbxContent>
                    </wps:txbx>
                    <wps:bodyPr horzOverflow="overflow" rtlCol="0" vert="horz" lIns="0" tIns="0" rIns="0" bIns="0">
                      <a:noAutofit/>
                    </wps:bodyPr>
                  </wps:wsp>
                  <wps:wsp>
                    <wps:cNvPr id="6144" name="Rectangle 6144"/>
                    <wps:cNvSpPr/>
                    <wps:spPr>
                      <a:xfrm>
                        <a:off x="4986275" y="2615185"/>
                        <a:ext cx="365448" cy="138324"/>
                      </a:xfrm>
                      <a:prstGeom prst="rect">
                        <a:avLst/>
                      </a:prstGeom>
                      <a:ln>
                        <a:noFill/>
                      </a:ln>
                    </wps:spPr>
                    <wps:txbx>
                      <w:txbxContent>
                        <w:p>
                          <w:pPr>
                            <w:spacing w:before="0" w:after="160" w:line="259" w:lineRule="auto"/>
                            <w:ind w:left="0" w:right="0" w:firstLine="0"/>
                            <w:jc w:val="left"/>
                          </w:pPr>
                          <w:r>
                            <w:rPr>
                              <w:sz w:val="16"/>
                            </w:rPr>
                            <w:t xml:space="preserve">Advice</w:t>
                          </w:r>
                        </w:p>
                      </w:txbxContent>
                    </wps:txbx>
                    <wps:bodyPr horzOverflow="overflow" rtlCol="0" vert="horz" lIns="0" tIns="0" rIns="0" bIns="0">
                      <a:noAutofit/>
                    </wps:bodyPr>
                  </wps:wsp>
                  <wps:wsp>
                    <wps:cNvPr id="6145" name="Rectangle 6145"/>
                    <wps:cNvSpPr/>
                    <wps:spPr>
                      <a:xfrm>
                        <a:off x="5260594" y="2615185"/>
                        <a:ext cx="30692" cy="138324"/>
                      </a:xfrm>
                      <a:prstGeom prst="rect">
                        <a:avLst/>
                      </a:prstGeom>
                      <a:ln>
                        <a:noFill/>
                      </a:ln>
                    </wps:spPr>
                    <wps:txbx>
                      <w:txbxContent>
                        <w:p>
                          <w:pPr>
                            <w:spacing w:before="0" w:after="160" w:line="259" w:lineRule="auto"/>
                            <w:ind w:left="0" w:right="0" w:firstLine="0"/>
                            <w:jc w:val="left"/>
                          </w:pPr>
                          <w:r>
                            <w:rPr>
                              <w:sz w:val="16"/>
                            </w:rPr>
                            <w:t xml:space="preserve"> </w:t>
                          </w:r>
                        </w:p>
                      </w:txbxContent>
                    </wps:txbx>
                    <wps:bodyPr horzOverflow="overflow" rtlCol="0" vert="horz" lIns="0" tIns="0" rIns="0" bIns="0">
                      <a:noAutofit/>
                    </wps:bodyPr>
                  </wps:wsp>
                  <wps:wsp>
                    <wps:cNvPr id="6147" name="Shape 6147"/>
                    <wps:cNvSpPr/>
                    <wps:spPr>
                      <a:xfrm>
                        <a:off x="2239645" y="1398779"/>
                        <a:ext cx="2385695" cy="2593975"/>
                      </a:xfrm>
                      <a:custGeom>
                        <a:pathLst>
                          <a:path w="2385695" h="2593975">
                            <a:moveTo>
                              <a:pt x="1192911" y="0"/>
                            </a:moveTo>
                            <a:cubicBezTo>
                              <a:pt x="1851660" y="0"/>
                              <a:pt x="2385695" y="580644"/>
                              <a:pt x="2385695" y="1297050"/>
                            </a:cubicBezTo>
                            <a:cubicBezTo>
                              <a:pt x="2385695" y="2013331"/>
                              <a:pt x="1851660" y="2593975"/>
                              <a:pt x="1192911" y="2593975"/>
                            </a:cubicBezTo>
                            <a:cubicBezTo>
                              <a:pt x="534035" y="2593975"/>
                              <a:pt x="0" y="2013331"/>
                              <a:pt x="0" y="1297050"/>
                            </a:cubicBezTo>
                            <a:cubicBezTo>
                              <a:pt x="0" y="580644"/>
                              <a:pt x="534035" y="0"/>
                              <a:pt x="1192911" y="0"/>
                            </a:cubicBezTo>
                            <a:close/>
                          </a:path>
                        </a:pathLst>
                      </a:custGeom>
                      <a:ln w="0" cap="rnd">
                        <a:round/>
                      </a:ln>
                    </wps:spPr>
                    <wps:style>
                      <a:lnRef idx="0">
                        <a:srgbClr val="000000">
                          <a:alpha val="0"/>
                        </a:srgbClr>
                      </a:lnRef>
                      <a:fillRef idx="1">
                        <a:srgbClr val="ffcc00"/>
                      </a:fillRef>
                      <a:effectRef idx="0"/>
                      <a:fontRef idx="none"/>
                    </wps:style>
                    <wps:bodyPr/>
                  </wps:wsp>
                  <wps:wsp>
                    <wps:cNvPr id="6148" name="Shape 6148"/>
                    <wps:cNvSpPr/>
                    <wps:spPr>
                      <a:xfrm>
                        <a:off x="2239645" y="1398779"/>
                        <a:ext cx="2385695" cy="2593975"/>
                      </a:xfrm>
                      <a:custGeom>
                        <a:pathLst>
                          <a:path w="2385695" h="2593975">
                            <a:moveTo>
                              <a:pt x="1192911" y="0"/>
                            </a:moveTo>
                            <a:cubicBezTo>
                              <a:pt x="534035" y="0"/>
                              <a:pt x="0" y="580644"/>
                              <a:pt x="0" y="1297050"/>
                            </a:cubicBezTo>
                            <a:cubicBezTo>
                              <a:pt x="0" y="2013331"/>
                              <a:pt x="534035" y="2593975"/>
                              <a:pt x="1192911" y="2593975"/>
                            </a:cubicBezTo>
                            <a:cubicBezTo>
                              <a:pt x="1851660" y="2593975"/>
                              <a:pt x="2385695" y="2013331"/>
                              <a:pt x="2385695" y="1297050"/>
                            </a:cubicBezTo>
                            <a:cubicBezTo>
                              <a:pt x="2385695" y="580644"/>
                              <a:pt x="1851660" y="0"/>
                              <a:pt x="1192911" y="0"/>
                            </a:cubicBezTo>
                            <a:close/>
                          </a:path>
                        </a:pathLst>
                      </a:custGeom>
                      <a:ln w="9525" cap="rnd">
                        <a:round/>
                      </a:ln>
                    </wps:spPr>
                    <wps:style>
                      <a:lnRef idx="1">
                        <a:srgbClr val="000000"/>
                      </a:lnRef>
                      <a:fillRef idx="0">
                        <a:srgbClr val="000000">
                          <a:alpha val="0"/>
                        </a:srgbClr>
                      </a:fillRef>
                      <a:effectRef idx="0"/>
                      <a:fontRef idx="none"/>
                    </wps:style>
                    <wps:bodyPr/>
                  </wps:wsp>
                  <wps:wsp>
                    <wps:cNvPr id="6149" name="Rectangle 6149"/>
                    <wps:cNvSpPr/>
                    <wps:spPr>
                      <a:xfrm>
                        <a:off x="2658491" y="1814117"/>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0" name="Rectangle 6150"/>
                    <wps:cNvSpPr/>
                    <wps:spPr>
                      <a:xfrm>
                        <a:off x="2658491" y="1931465"/>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1" name="Rectangle 6151"/>
                    <wps:cNvSpPr/>
                    <wps:spPr>
                      <a:xfrm>
                        <a:off x="2658491" y="2047289"/>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2" name="Rectangle 6152"/>
                    <wps:cNvSpPr/>
                    <wps:spPr>
                      <a:xfrm>
                        <a:off x="2658491" y="2165018"/>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3" name="Rectangle 6153"/>
                    <wps:cNvSpPr/>
                    <wps:spPr>
                      <a:xfrm>
                        <a:off x="2658491" y="2282366"/>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4" name="Rectangle 6154"/>
                    <wps:cNvSpPr/>
                    <wps:spPr>
                      <a:xfrm>
                        <a:off x="2658491" y="2398190"/>
                        <a:ext cx="714305"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5" name="Rectangle 6155"/>
                    <wps:cNvSpPr/>
                    <wps:spPr>
                      <a:xfrm>
                        <a:off x="3194939" y="2398190"/>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6" name="Rectangle 6156"/>
                    <wps:cNvSpPr/>
                    <wps:spPr>
                      <a:xfrm>
                        <a:off x="2658491" y="2515538"/>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7" name="Rectangle 6157"/>
                    <wps:cNvSpPr/>
                    <wps:spPr>
                      <a:xfrm>
                        <a:off x="2658491" y="2632886"/>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58" name="Rectangle 6158"/>
                    <wps:cNvSpPr/>
                    <wps:spPr>
                      <a:xfrm>
                        <a:off x="3199511" y="2748710"/>
                        <a:ext cx="6241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UNDP CO</w:t>
                          </w:r>
                        </w:p>
                      </w:txbxContent>
                    </wps:txbx>
                    <wps:bodyPr horzOverflow="overflow" rtlCol="0" vert="horz" lIns="0" tIns="0" rIns="0" bIns="0">
                      <a:noAutofit/>
                    </wps:bodyPr>
                  </wps:wsp>
                  <wps:wsp>
                    <wps:cNvPr id="6159" name="Rectangle 6159"/>
                    <wps:cNvSpPr/>
                    <wps:spPr>
                      <a:xfrm>
                        <a:off x="3667633" y="2748710"/>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60" name="Rectangle 6160"/>
                    <wps:cNvSpPr/>
                    <wps:spPr>
                      <a:xfrm>
                        <a:off x="3434207" y="2867582"/>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6161" name="Rectangle 6161"/>
                    <wps:cNvSpPr/>
                    <wps:spPr>
                      <a:xfrm>
                        <a:off x="3143123" y="2984930"/>
                        <a:ext cx="774873"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Procurement</w:t>
                          </w:r>
                        </w:p>
                      </w:txbxContent>
                    </wps:txbx>
                    <wps:bodyPr horzOverflow="overflow" rtlCol="0" vert="horz" lIns="0" tIns="0" rIns="0" bIns="0">
                      <a:noAutofit/>
                    </wps:bodyPr>
                  </wps:wsp>
                  <wps:wsp>
                    <wps:cNvPr id="6162" name="Rectangle 6162"/>
                    <wps:cNvSpPr/>
                    <wps:spPr>
                      <a:xfrm>
                        <a:off x="3725545" y="2984930"/>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6163" name="Rectangle 6163"/>
                    <wps:cNvSpPr/>
                    <wps:spPr>
                      <a:xfrm>
                        <a:off x="3434207" y="3100754"/>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6164" name="Rectangle 6164"/>
                    <wps:cNvSpPr/>
                    <wps:spPr>
                      <a:xfrm>
                        <a:off x="3013583" y="3218102"/>
                        <a:ext cx="1118886"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Human Resources</w:t>
                          </w:r>
                        </w:p>
                      </w:txbxContent>
                    </wps:txbx>
                    <wps:bodyPr horzOverflow="overflow" rtlCol="0" vert="horz" lIns="0" tIns="0" rIns="0" bIns="0">
                      <a:noAutofit/>
                    </wps:bodyPr>
                  </wps:wsp>
                  <wps:wsp>
                    <wps:cNvPr id="6165" name="Rectangle 6165"/>
                    <wps:cNvSpPr/>
                    <wps:spPr>
                      <a:xfrm>
                        <a:off x="3855085" y="3218102"/>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sz w:val="16"/>
                            </w:rPr>
                            <w:t xml:space="preserve"> </w:t>
                          </w:r>
                        </w:p>
                      </w:txbxContent>
                    </wps:txbx>
                    <wps:bodyPr horzOverflow="overflow" rtlCol="0" vert="horz" lIns="0" tIns="0" rIns="0" bIns="0">
                      <a:noAutofit/>
                    </wps:bodyPr>
                  </wps:wsp>
                  <wps:wsp>
                    <wps:cNvPr id="6166" name="Rectangle 6166"/>
                    <wps:cNvSpPr/>
                    <wps:spPr>
                      <a:xfrm>
                        <a:off x="3434207" y="3332402"/>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67" name="Rectangle 6167"/>
                    <wps:cNvSpPr/>
                    <wps:spPr>
                      <a:xfrm>
                        <a:off x="2742311" y="3455846"/>
                        <a:ext cx="1841204"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UNDP Direct Implementation</w:t>
                          </w:r>
                        </w:p>
                      </w:txbxContent>
                    </wps:txbx>
                    <wps:bodyPr horzOverflow="overflow" rtlCol="0" vert="horz" lIns="0" tIns="0" rIns="0" bIns="0">
                      <a:noAutofit/>
                    </wps:bodyPr>
                  </wps:wsp>
                  <wps:wsp>
                    <wps:cNvPr id="6168" name="Rectangle 6168"/>
                    <wps:cNvSpPr/>
                    <wps:spPr>
                      <a:xfrm>
                        <a:off x="4126357" y="3455846"/>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69" name="Shape 6169"/>
                    <wps:cNvSpPr/>
                    <wps:spPr>
                      <a:xfrm>
                        <a:off x="1649730" y="1050799"/>
                        <a:ext cx="666750" cy="485775"/>
                      </a:xfrm>
                      <a:custGeom>
                        <a:pathLst>
                          <a:path w="666750" h="485775">
                            <a:moveTo>
                              <a:pt x="333375" y="0"/>
                            </a:moveTo>
                            <a:lnTo>
                              <a:pt x="666750" y="242824"/>
                            </a:lnTo>
                            <a:lnTo>
                              <a:pt x="333375" y="485775"/>
                            </a:lnTo>
                            <a:lnTo>
                              <a:pt x="0" y="242824"/>
                            </a:lnTo>
                            <a:lnTo>
                              <a:pt x="333375" y="0"/>
                            </a:lnTo>
                            <a:close/>
                          </a:path>
                        </a:pathLst>
                      </a:custGeom>
                      <a:ln w="0" cap="rnd">
                        <a:round/>
                      </a:ln>
                    </wps:spPr>
                    <wps:style>
                      <a:lnRef idx="0">
                        <a:srgbClr val="000000">
                          <a:alpha val="0"/>
                        </a:srgbClr>
                      </a:lnRef>
                      <a:fillRef idx="1">
                        <a:srgbClr val="ffffff"/>
                      </a:fillRef>
                      <a:effectRef idx="0"/>
                      <a:fontRef idx="none"/>
                    </wps:style>
                    <wps:bodyPr/>
                  </wps:wsp>
                  <wps:wsp>
                    <wps:cNvPr id="6170" name="Shape 6170"/>
                    <wps:cNvSpPr/>
                    <wps:spPr>
                      <a:xfrm>
                        <a:off x="1649730" y="1050799"/>
                        <a:ext cx="666750" cy="485775"/>
                      </a:xfrm>
                      <a:custGeom>
                        <a:pathLst>
                          <a:path w="666750" h="485775">
                            <a:moveTo>
                              <a:pt x="333375" y="0"/>
                            </a:moveTo>
                            <a:lnTo>
                              <a:pt x="0" y="242824"/>
                            </a:lnTo>
                            <a:lnTo>
                              <a:pt x="333375" y="485775"/>
                            </a:lnTo>
                            <a:lnTo>
                              <a:pt x="666750" y="242824"/>
                            </a:lnTo>
                            <a:close/>
                          </a:path>
                        </a:pathLst>
                      </a:custGeom>
                      <a:ln w="9525" cap="rnd">
                        <a:round/>
                      </a:ln>
                    </wps:spPr>
                    <wps:style>
                      <a:lnRef idx="1">
                        <a:srgbClr val="000000"/>
                      </a:lnRef>
                      <a:fillRef idx="0">
                        <a:srgbClr val="000000">
                          <a:alpha val="0"/>
                        </a:srgbClr>
                      </a:fillRef>
                      <a:effectRef idx="0"/>
                      <a:fontRef idx="none"/>
                    </wps:style>
                    <wps:bodyPr/>
                  </wps:wsp>
                  <wps:wsp>
                    <wps:cNvPr id="6171" name="Rectangle 6171"/>
                    <wps:cNvSpPr/>
                    <wps:spPr>
                      <a:xfrm>
                        <a:off x="1865630" y="1201469"/>
                        <a:ext cx="280299"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CTA</w:t>
                          </w:r>
                        </w:p>
                      </w:txbxContent>
                    </wps:txbx>
                    <wps:bodyPr horzOverflow="overflow" rtlCol="0" vert="horz" lIns="0" tIns="0" rIns="0" bIns="0">
                      <a:noAutofit/>
                    </wps:bodyPr>
                  </wps:wsp>
                  <wps:wsp>
                    <wps:cNvPr id="6172" name="Rectangle 6172"/>
                    <wps:cNvSpPr/>
                    <wps:spPr>
                      <a:xfrm>
                        <a:off x="2074799" y="1201469"/>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74" name="Shape 6174"/>
                    <wps:cNvSpPr/>
                    <wps:spPr>
                      <a:xfrm>
                        <a:off x="869950" y="1050799"/>
                        <a:ext cx="715010" cy="485775"/>
                      </a:xfrm>
                      <a:custGeom>
                        <a:pathLst>
                          <a:path w="715010" h="485775">
                            <a:moveTo>
                              <a:pt x="0" y="242824"/>
                            </a:moveTo>
                            <a:lnTo>
                              <a:pt x="143002" y="485775"/>
                            </a:lnTo>
                            <a:lnTo>
                              <a:pt x="143002" y="364363"/>
                            </a:lnTo>
                            <a:lnTo>
                              <a:pt x="572008" y="364363"/>
                            </a:lnTo>
                            <a:lnTo>
                              <a:pt x="572008" y="485775"/>
                            </a:lnTo>
                            <a:lnTo>
                              <a:pt x="715010" y="242824"/>
                            </a:lnTo>
                            <a:lnTo>
                              <a:pt x="572008" y="0"/>
                            </a:lnTo>
                            <a:lnTo>
                              <a:pt x="572008" y="121412"/>
                            </a:lnTo>
                            <a:lnTo>
                              <a:pt x="143002" y="121412"/>
                            </a:lnTo>
                            <a:lnTo>
                              <a:pt x="143002" y="0"/>
                            </a:lnTo>
                            <a:close/>
                          </a:path>
                        </a:pathLst>
                      </a:custGeom>
                      <a:ln w="9525" cap="rnd">
                        <a:round/>
                      </a:ln>
                    </wps:spPr>
                    <wps:style>
                      <a:lnRef idx="1">
                        <a:srgbClr val="000000"/>
                      </a:lnRef>
                      <a:fillRef idx="0">
                        <a:srgbClr val="000000">
                          <a:alpha val="0"/>
                        </a:srgbClr>
                      </a:fillRef>
                      <a:effectRef idx="0"/>
                      <a:fontRef idx="none"/>
                    </wps:style>
                    <wps:bodyPr/>
                  </wps:wsp>
                  <wps:wsp>
                    <wps:cNvPr id="6175" name="Rectangle 6175"/>
                    <wps:cNvSpPr/>
                    <wps:spPr>
                      <a:xfrm>
                        <a:off x="1019810" y="1201469"/>
                        <a:ext cx="442197"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Advice</w:t>
                          </w:r>
                        </w:p>
                      </w:txbxContent>
                    </wps:txbx>
                    <wps:bodyPr horzOverflow="overflow" rtlCol="0" vert="horz" lIns="0" tIns="0" rIns="0" bIns="0">
                      <a:noAutofit/>
                    </wps:bodyPr>
                  </wps:wsp>
                  <wps:wsp>
                    <wps:cNvPr id="6176" name="Rectangle 6176"/>
                    <wps:cNvSpPr/>
                    <wps:spPr>
                      <a:xfrm>
                        <a:off x="1353566" y="1201469"/>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77" name="Shape 6177"/>
                    <wps:cNvSpPr/>
                    <wps:spPr>
                      <a:xfrm>
                        <a:off x="0" y="622174"/>
                        <a:ext cx="929640" cy="914400"/>
                      </a:xfrm>
                      <a:custGeom>
                        <a:pathLst>
                          <a:path w="929640" h="914400">
                            <a:moveTo>
                              <a:pt x="152400" y="0"/>
                            </a:moveTo>
                            <a:lnTo>
                              <a:pt x="777240" y="0"/>
                            </a:lnTo>
                            <a:cubicBezTo>
                              <a:pt x="861403" y="0"/>
                              <a:pt x="929640" y="68199"/>
                              <a:pt x="929640" y="152400"/>
                            </a:cubicBezTo>
                            <a:lnTo>
                              <a:pt x="929640" y="762000"/>
                            </a:lnTo>
                            <a:cubicBezTo>
                              <a:pt x="929640" y="846201"/>
                              <a:pt x="861403" y="914400"/>
                              <a:pt x="777240" y="914400"/>
                            </a:cubicBezTo>
                            <a:lnTo>
                              <a:pt x="152400" y="914400"/>
                            </a:lnTo>
                            <a:cubicBezTo>
                              <a:pt x="68237" y="914400"/>
                              <a:pt x="0" y="846201"/>
                              <a:pt x="0" y="762000"/>
                            </a:cubicBezTo>
                            <a:lnTo>
                              <a:pt x="0" y="152400"/>
                            </a:lnTo>
                            <a:cubicBezTo>
                              <a:pt x="0" y="68199"/>
                              <a:pt x="68237" y="0"/>
                              <a:pt x="152400" y="0"/>
                            </a:cubicBezTo>
                            <a:close/>
                          </a:path>
                        </a:pathLst>
                      </a:custGeom>
                      <a:ln w="0" cap="rnd">
                        <a:round/>
                      </a:ln>
                    </wps:spPr>
                    <wps:style>
                      <a:lnRef idx="0">
                        <a:srgbClr val="000000">
                          <a:alpha val="0"/>
                        </a:srgbClr>
                      </a:lnRef>
                      <a:fillRef idx="1">
                        <a:srgbClr val="ffffff"/>
                      </a:fillRef>
                      <a:effectRef idx="0"/>
                      <a:fontRef idx="none"/>
                    </wps:style>
                    <wps:bodyPr/>
                  </wps:wsp>
                  <wps:wsp>
                    <wps:cNvPr id="6178" name="Shape 6178"/>
                    <wps:cNvSpPr/>
                    <wps:spPr>
                      <a:xfrm>
                        <a:off x="0" y="622174"/>
                        <a:ext cx="929640" cy="914400"/>
                      </a:xfrm>
                      <a:custGeom>
                        <a:pathLst>
                          <a:path w="929640" h="914400">
                            <a:moveTo>
                              <a:pt x="152400" y="0"/>
                            </a:moveTo>
                            <a:cubicBezTo>
                              <a:pt x="68237" y="0"/>
                              <a:pt x="0" y="68199"/>
                              <a:pt x="0" y="152400"/>
                            </a:cubicBezTo>
                            <a:lnTo>
                              <a:pt x="0" y="762000"/>
                            </a:lnTo>
                            <a:cubicBezTo>
                              <a:pt x="0" y="846201"/>
                              <a:pt x="68237" y="914400"/>
                              <a:pt x="152400" y="914400"/>
                            </a:cubicBezTo>
                            <a:lnTo>
                              <a:pt x="777240" y="914400"/>
                            </a:lnTo>
                            <a:cubicBezTo>
                              <a:pt x="861403" y="914400"/>
                              <a:pt x="929640" y="846201"/>
                              <a:pt x="929640" y="762000"/>
                            </a:cubicBezTo>
                            <a:lnTo>
                              <a:pt x="929640" y="152400"/>
                            </a:lnTo>
                            <a:cubicBezTo>
                              <a:pt x="929640" y="68199"/>
                              <a:pt x="861403" y="0"/>
                              <a:pt x="777240" y="0"/>
                            </a:cubicBezTo>
                            <a:close/>
                          </a:path>
                        </a:pathLst>
                      </a:custGeom>
                      <a:ln w="9525" cap="rnd">
                        <a:round/>
                      </a:ln>
                    </wps:spPr>
                    <wps:style>
                      <a:lnRef idx="1">
                        <a:srgbClr val="000000"/>
                      </a:lnRef>
                      <a:fillRef idx="0">
                        <a:srgbClr val="000000">
                          <a:alpha val="0"/>
                        </a:srgbClr>
                      </a:fillRef>
                      <a:effectRef idx="0"/>
                      <a:fontRef idx="none"/>
                    </wps:style>
                    <wps:bodyPr/>
                  </wps:wsp>
                  <wps:wsp>
                    <wps:cNvPr id="6179" name="Rectangle 6179"/>
                    <wps:cNvSpPr/>
                    <wps:spPr>
                      <a:xfrm>
                        <a:off x="132588" y="707693"/>
                        <a:ext cx="526489"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Election</w:t>
                          </w:r>
                        </w:p>
                      </w:txbxContent>
                    </wps:txbx>
                    <wps:bodyPr horzOverflow="overflow" rtlCol="0" vert="horz" lIns="0" tIns="0" rIns="0" bIns="0">
                      <a:noAutofit/>
                    </wps:bodyPr>
                  </wps:wsp>
                  <wps:wsp>
                    <wps:cNvPr id="6180" name="Rectangle 6180"/>
                    <wps:cNvSpPr/>
                    <wps:spPr>
                      <a:xfrm>
                        <a:off x="527609" y="707693"/>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81" name="Rectangle 6181"/>
                    <wps:cNvSpPr/>
                    <wps:spPr>
                      <a:xfrm>
                        <a:off x="132588" y="825041"/>
                        <a:ext cx="864367"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Management </w:t>
                          </w:r>
                        </w:p>
                      </w:txbxContent>
                    </wps:txbx>
                    <wps:bodyPr horzOverflow="overflow" rtlCol="0" vert="horz" lIns="0" tIns="0" rIns="0" bIns="0">
                      <a:noAutofit/>
                    </wps:bodyPr>
                  </wps:wsp>
                  <wps:wsp>
                    <wps:cNvPr id="6182" name="Rectangle 6182"/>
                    <wps:cNvSpPr/>
                    <wps:spPr>
                      <a:xfrm>
                        <a:off x="132588" y="942389"/>
                        <a:ext cx="489414"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Bodies </w:t>
                          </w:r>
                        </w:p>
                      </w:txbxContent>
                    </wps:txbx>
                    <wps:bodyPr horzOverflow="overflow" rtlCol="0" vert="horz" lIns="0" tIns="0" rIns="0" bIns="0">
                      <a:noAutofit/>
                    </wps:bodyPr>
                  </wps:wsp>
                  <wps:wsp>
                    <wps:cNvPr id="6183" name="Rectangle 6183"/>
                    <wps:cNvSpPr/>
                    <wps:spPr>
                      <a:xfrm>
                        <a:off x="500177" y="942389"/>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84" name="Rectangle 6184"/>
                    <wps:cNvSpPr/>
                    <wps:spPr>
                      <a:xfrm>
                        <a:off x="132588" y="1058213"/>
                        <a:ext cx="135022"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&amp; </w:t>
                          </w:r>
                        </w:p>
                      </w:txbxContent>
                    </wps:txbx>
                    <wps:bodyPr horzOverflow="overflow" rtlCol="0" vert="horz" lIns="0" tIns="0" rIns="0" bIns="0">
                      <a:noAutofit/>
                    </wps:bodyPr>
                  </wps:wsp>
                  <wps:wsp>
                    <wps:cNvPr id="6185" name="Rectangle 6185"/>
                    <wps:cNvSpPr/>
                    <wps:spPr>
                      <a:xfrm>
                        <a:off x="234696" y="1058213"/>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86" name="Rectangle 6186"/>
                    <wps:cNvSpPr/>
                    <wps:spPr>
                      <a:xfrm>
                        <a:off x="132588" y="1175561"/>
                        <a:ext cx="572525"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National </w:t>
                          </w:r>
                        </w:p>
                      </w:txbxContent>
                    </wps:txbx>
                    <wps:bodyPr horzOverflow="overflow" rtlCol="0" vert="horz" lIns="0" tIns="0" rIns="0" bIns="0">
                      <a:noAutofit/>
                    </wps:bodyPr>
                  </wps:wsp>
                  <wps:wsp>
                    <wps:cNvPr id="6187" name="Rectangle 6187"/>
                    <wps:cNvSpPr/>
                    <wps:spPr>
                      <a:xfrm>
                        <a:off x="132588" y="1297481"/>
                        <a:ext cx="851374"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Stakeholders</w:t>
                          </w:r>
                        </w:p>
                      </w:txbxContent>
                    </wps:txbx>
                    <wps:bodyPr horzOverflow="overflow" rtlCol="0" vert="horz" lIns="0" tIns="0" rIns="0" bIns="0">
                      <a:noAutofit/>
                    </wps:bodyPr>
                  </wps:wsp>
                  <wps:wsp>
                    <wps:cNvPr id="6188" name="Rectangle 6188"/>
                    <wps:cNvSpPr/>
                    <wps:spPr>
                      <a:xfrm>
                        <a:off x="771449" y="1297481"/>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172412" name="Shape 172412"/>
                    <wps:cNvSpPr/>
                    <wps:spPr>
                      <a:xfrm>
                        <a:off x="2865755" y="1699768"/>
                        <a:ext cx="1267460" cy="720090"/>
                      </a:xfrm>
                      <a:custGeom>
                        <a:pathLst>
                          <a:path w="1267460" h="720090">
                            <a:moveTo>
                              <a:pt x="0" y="0"/>
                            </a:moveTo>
                            <a:lnTo>
                              <a:pt x="1267460" y="0"/>
                            </a:lnTo>
                            <a:lnTo>
                              <a:pt x="1267460" y="720090"/>
                            </a:lnTo>
                            <a:lnTo>
                              <a:pt x="0" y="720090"/>
                            </a:lnTo>
                            <a:lnTo>
                              <a:pt x="0" y="0"/>
                            </a:lnTo>
                          </a:path>
                        </a:pathLst>
                      </a:custGeom>
                      <a:ln w="0" cap="rnd">
                        <a:round/>
                      </a:ln>
                    </wps:spPr>
                    <wps:style>
                      <a:lnRef idx="0">
                        <a:srgbClr val="000000">
                          <a:alpha val="0"/>
                        </a:srgbClr>
                      </a:lnRef>
                      <a:fillRef idx="1">
                        <a:srgbClr val="808080">
                          <a:alpha val="50196"/>
                        </a:srgbClr>
                      </a:fillRef>
                      <a:effectRef idx="0"/>
                      <a:fontRef idx="none"/>
                    </wps:style>
                    <wps:bodyPr/>
                  </wps:wsp>
                  <wps:wsp>
                    <wps:cNvPr id="172413" name="Shape 172413"/>
                    <wps:cNvSpPr/>
                    <wps:spPr>
                      <a:xfrm>
                        <a:off x="2789555" y="1623568"/>
                        <a:ext cx="1267460" cy="720090"/>
                      </a:xfrm>
                      <a:custGeom>
                        <a:pathLst>
                          <a:path w="1267460" h="720090">
                            <a:moveTo>
                              <a:pt x="0" y="0"/>
                            </a:moveTo>
                            <a:lnTo>
                              <a:pt x="1267460" y="0"/>
                            </a:lnTo>
                            <a:lnTo>
                              <a:pt x="1267460" y="720090"/>
                            </a:lnTo>
                            <a:lnTo>
                              <a:pt x="0" y="720090"/>
                            </a:lnTo>
                            <a:lnTo>
                              <a:pt x="0" y="0"/>
                            </a:lnTo>
                          </a:path>
                        </a:pathLst>
                      </a:custGeom>
                      <a:ln w="0" cap="rnd">
                        <a:round/>
                      </a:ln>
                    </wps:spPr>
                    <wps:style>
                      <a:lnRef idx="0">
                        <a:srgbClr val="000000">
                          <a:alpha val="0"/>
                        </a:srgbClr>
                      </a:lnRef>
                      <a:fillRef idx="1">
                        <a:srgbClr val="ffcc99"/>
                      </a:fillRef>
                      <a:effectRef idx="0"/>
                      <a:fontRef idx="none"/>
                    </wps:style>
                    <wps:bodyPr/>
                  </wps:wsp>
                  <wps:wsp>
                    <wps:cNvPr id="6191" name="Shape 6191"/>
                    <wps:cNvSpPr/>
                    <wps:spPr>
                      <a:xfrm>
                        <a:off x="2789555" y="1623568"/>
                        <a:ext cx="1267460" cy="720090"/>
                      </a:xfrm>
                      <a:custGeom>
                        <a:pathLst>
                          <a:path w="1267460" h="720090">
                            <a:moveTo>
                              <a:pt x="0" y="720090"/>
                            </a:moveTo>
                            <a:lnTo>
                              <a:pt x="1267460" y="720090"/>
                            </a:lnTo>
                            <a:lnTo>
                              <a:pt x="1267460" y="0"/>
                            </a:lnTo>
                            <a:lnTo>
                              <a:pt x="0" y="0"/>
                            </a:lnTo>
                            <a:close/>
                          </a:path>
                        </a:pathLst>
                      </a:custGeom>
                      <a:ln w="9525" cap="rnd">
                        <a:miter lim="101600"/>
                      </a:ln>
                    </wps:spPr>
                    <wps:style>
                      <a:lnRef idx="1">
                        <a:srgbClr val="000000"/>
                      </a:lnRef>
                      <a:fillRef idx="0">
                        <a:srgbClr val="000000">
                          <a:alpha val="0"/>
                        </a:srgbClr>
                      </a:fillRef>
                      <a:effectRef idx="0"/>
                      <a:fontRef idx="none"/>
                    </wps:style>
                    <wps:bodyPr/>
                  </wps:wsp>
                  <wps:wsp>
                    <wps:cNvPr id="6192" name="Rectangle 6192"/>
                    <wps:cNvSpPr/>
                    <wps:spPr>
                      <a:xfrm>
                        <a:off x="3423539" y="1673909"/>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93" name="Rectangle 6193"/>
                    <wps:cNvSpPr/>
                    <wps:spPr>
                      <a:xfrm>
                        <a:off x="3423539" y="1789733"/>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94" name="Rectangle 6194"/>
                    <wps:cNvSpPr/>
                    <wps:spPr>
                      <a:xfrm>
                        <a:off x="3423539" y="1907081"/>
                        <a:ext cx="37731" cy="151421"/>
                      </a:xfrm>
                      <a:prstGeom prst="rect">
                        <a:avLst/>
                      </a:prstGeom>
                      <a:ln>
                        <a:noFill/>
                      </a:ln>
                    </wps:spPr>
                    <wps:txbx>
                      <w:txbxContent>
                        <w:p>
                          <w:pPr>
                            <w:spacing w:before="0" w:after="160" w:line="259" w:lineRule="auto"/>
                            <w:ind w:left="0" w:right="0" w:firstLine="0"/>
                            <w:jc w:val="left"/>
                          </w:pPr>
                          <w:r>
                            <w:rPr>
                              <w:rFonts w:cs="Arial" w:hAnsi="Arial" w:eastAsia="Arial" w:ascii="Arial"/>
                              <w:b w:val="1"/>
                              <w:sz w:val="16"/>
                            </w:rPr>
                            <w:t xml:space="preserve"> </w:t>
                          </w:r>
                        </w:p>
                      </w:txbxContent>
                    </wps:txbx>
                    <wps:bodyPr horzOverflow="overflow" rtlCol="0" vert="horz" lIns="0" tIns="0" rIns="0" bIns="0">
                      <a:noAutofit/>
                    </wps:bodyPr>
                  </wps:wsp>
                  <wps:wsp>
                    <wps:cNvPr id="6195" name="Rectangle 6195"/>
                    <wps:cNvSpPr/>
                    <wps:spPr>
                      <a:xfrm>
                        <a:off x="3101975" y="2047876"/>
                        <a:ext cx="891440" cy="154840"/>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8"/>
                            </w:rPr>
                            <w:t xml:space="preserve">UNDP Project </w:t>
                          </w:r>
                        </w:p>
                      </w:txbxContent>
                    </wps:txbx>
                    <wps:bodyPr horzOverflow="overflow" rtlCol="0" vert="horz" lIns="0" tIns="0" rIns="0" bIns="0">
                      <a:noAutofit/>
                    </wps:bodyPr>
                  </wps:wsp>
                  <wps:wsp>
                    <wps:cNvPr id="6196" name="Rectangle 6196"/>
                    <wps:cNvSpPr/>
                    <wps:spPr>
                      <a:xfrm>
                        <a:off x="2960243" y="2186941"/>
                        <a:ext cx="1233482" cy="154840"/>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8"/>
                            </w:rPr>
                            <w:t xml:space="preserve">Management Team</w:t>
                          </w:r>
                        </w:p>
                      </w:txbxContent>
                    </wps:txbx>
                    <wps:bodyPr horzOverflow="overflow" rtlCol="0" vert="horz" lIns="0" tIns="0" rIns="0" bIns="0">
                      <a:noAutofit/>
                    </wps:bodyPr>
                  </wps:wsp>
                  <wps:wsp>
                    <wps:cNvPr id="6197" name="Rectangle 6197"/>
                    <wps:cNvSpPr/>
                    <wps:spPr>
                      <a:xfrm>
                        <a:off x="3887089" y="2186941"/>
                        <a:ext cx="34356" cy="154840"/>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8"/>
                            </w:rPr>
                            <w:t xml:space="preserve"> </w:t>
                          </w:r>
                        </w:p>
                      </w:txbxContent>
                    </wps:txbx>
                    <wps:bodyPr horzOverflow="overflow" rtlCol="0" vert="horz" lIns="0" tIns="0" rIns="0" bIns="0">
                      <a:noAutofit/>
                    </wps:bodyPr>
                  </wps:wsp>
                  <wps:wsp>
                    <wps:cNvPr id="6199" name="Shape 6199"/>
                    <wps:cNvSpPr/>
                    <wps:spPr>
                      <a:xfrm>
                        <a:off x="3160395" y="1685164"/>
                        <a:ext cx="498475" cy="314960"/>
                      </a:xfrm>
                      <a:custGeom>
                        <a:pathLst>
                          <a:path w="498475" h="314960">
                            <a:moveTo>
                              <a:pt x="249174" y="0"/>
                            </a:moveTo>
                            <a:lnTo>
                              <a:pt x="498475" y="157480"/>
                            </a:lnTo>
                            <a:lnTo>
                              <a:pt x="249174" y="314960"/>
                            </a:lnTo>
                            <a:lnTo>
                              <a:pt x="0" y="157480"/>
                            </a:lnTo>
                            <a:lnTo>
                              <a:pt x="249174" y="0"/>
                            </a:lnTo>
                            <a:close/>
                          </a:path>
                        </a:pathLst>
                      </a:custGeom>
                      <a:ln w="0" cap="rnd">
                        <a:miter lim="101600"/>
                      </a:ln>
                    </wps:spPr>
                    <wps:style>
                      <a:lnRef idx="0">
                        <a:srgbClr val="000000">
                          <a:alpha val="0"/>
                        </a:srgbClr>
                      </a:lnRef>
                      <a:fillRef idx="1">
                        <a:srgbClr val="ffffff"/>
                      </a:fillRef>
                      <a:effectRef idx="0"/>
                      <a:fontRef idx="none"/>
                    </wps:style>
                    <wps:bodyPr/>
                  </wps:wsp>
                  <wps:wsp>
                    <wps:cNvPr id="6200" name="Shape 6200"/>
                    <wps:cNvSpPr/>
                    <wps:spPr>
                      <a:xfrm>
                        <a:off x="3160395" y="1685164"/>
                        <a:ext cx="498475" cy="314960"/>
                      </a:xfrm>
                      <a:custGeom>
                        <a:pathLst>
                          <a:path w="498475" h="314960">
                            <a:moveTo>
                              <a:pt x="249174" y="0"/>
                            </a:moveTo>
                            <a:lnTo>
                              <a:pt x="0" y="157480"/>
                            </a:lnTo>
                            <a:lnTo>
                              <a:pt x="249174" y="314960"/>
                            </a:lnTo>
                            <a:lnTo>
                              <a:pt x="498475" y="157480"/>
                            </a:lnTo>
                            <a:close/>
                          </a:path>
                        </a:pathLst>
                      </a:custGeom>
                      <a:ln w="9525" cap="rnd">
                        <a:round/>
                      </a:ln>
                    </wps:spPr>
                    <wps:style>
                      <a:lnRef idx="1">
                        <a:srgbClr val="000000"/>
                      </a:lnRef>
                      <a:fillRef idx="0">
                        <a:srgbClr val="000000">
                          <a:alpha val="0"/>
                        </a:srgbClr>
                      </a:fillRef>
                      <a:effectRef idx="0"/>
                      <a:fontRef idx="none"/>
                    </wps:style>
                    <wps:bodyPr/>
                  </wps:wsp>
                  <wps:wsp>
                    <wps:cNvPr id="6201" name="Rectangle 6201"/>
                    <wps:cNvSpPr/>
                    <wps:spPr>
                      <a:xfrm>
                        <a:off x="3335147" y="1808607"/>
                        <a:ext cx="191661" cy="138324"/>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6"/>
                            </w:rPr>
                            <w:t xml:space="preserve">PM</w:t>
                          </w:r>
                        </w:p>
                      </w:txbxContent>
                    </wps:txbx>
                    <wps:bodyPr horzOverflow="overflow" rtlCol="0" vert="horz" lIns="0" tIns="0" rIns="0" bIns="0">
                      <a:noAutofit/>
                    </wps:bodyPr>
                  </wps:wsp>
                  <wps:wsp>
                    <wps:cNvPr id="6202" name="Rectangle 6202"/>
                    <wps:cNvSpPr/>
                    <wps:spPr>
                      <a:xfrm>
                        <a:off x="3478657" y="1808607"/>
                        <a:ext cx="30692" cy="138324"/>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6"/>
                            </w:rPr>
                            <w:t xml:space="preserve"> </w:t>
                          </w:r>
                        </w:p>
                      </w:txbxContent>
                    </wps:txbx>
                    <wps:bodyPr horzOverflow="overflow" rtlCol="0" vert="horz" lIns="0" tIns="0" rIns="0" bIns="0">
                      <a:noAutofit/>
                    </wps:bodyPr>
                  </wps:wsp>
                  <wps:wsp>
                    <wps:cNvPr id="6203" name="Shape 6203"/>
                    <wps:cNvSpPr/>
                    <wps:spPr>
                      <a:xfrm>
                        <a:off x="3160395" y="2394459"/>
                        <a:ext cx="534670" cy="355600"/>
                      </a:xfrm>
                      <a:custGeom>
                        <a:pathLst>
                          <a:path w="534670" h="355600">
                            <a:moveTo>
                              <a:pt x="267335" y="0"/>
                            </a:moveTo>
                            <a:lnTo>
                              <a:pt x="534670" y="177800"/>
                            </a:lnTo>
                            <a:lnTo>
                              <a:pt x="267335" y="355600"/>
                            </a:lnTo>
                            <a:lnTo>
                              <a:pt x="0" y="177800"/>
                            </a:lnTo>
                            <a:lnTo>
                              <a:pt x="267335" y="0"/>
                            </a:lnTo>
                            <a:close/>
                          </a:path>
                        </a:pathLst>
                      </a:custGeom>
                      <a:ln w="0" cap="rnd">
                        <a:round/>
                      </a:ln>
                    </wps:spPr>
                    <wps:style>
                      <a:lnRef idx="0">
                        <a:srgbClr val="000000">
                          <a:alpha val="0"/>
                        </a:srgbClr>
                      </a:lnRef>
                      <a:fillRef idx="1">
                        <a:srgbClr val="ffffff"/>
                      </a:fillRef>
                      <a:effectRef idx="0"/>
                      <a:fontRef idx="none"/>
                    </wps:style>
                    <wps:bodyPr/>
                  </wps:wsp>
                  <wps:wsp>
                    <wps:cNvPr id="6204" name="Shape 6204"/>
                    <wps:cNvSpPr/>
                    <wps:spPr>
                      <a:xfrm>
                        <a:off x="3160395" y="2394459"/>
                        <a:ext cx="534670" cy="355600"/>
                      </a:xfrm>
                      <a:custGeom>
                        <a:pathLst>
                          <a:path w="534670" h="355600">
                            <a:moveTo>
                              <a:pt x="267335" y="0"/>
                            </a:moveTo>
                            <a:lnTo>
                              <a:pt x="0" y="177800"/>
                            </a:lnTo>
                            <a:lnTo>
                              <a:pt x="267335" y="355600"/>
                            </a:lnTo>
                            <a:lnTo>
                              <a:pt x="534670" y="177800"/>
                            </a:lnTo>
                            <a:close/>
                          </a:path>
                        </a:pathLst>
                      </a:custGeom>
                      <a:ln w="9525" cap="rnd">
                        <a:round/>
                      </a:ln>
                    </wps:spPr>
                    <wps:style>
                      <a:lnRef idx="1">
                        <a:srgbClr val="000000"/>
                      </a:lnRef>
                      <a:fillRef idx="0">
                        <a:srgbClr val="000000">
                          <a:alpha val="0"/>
                        </a:srgbClr>
                      </a:fillRef>
                      <a:effectRef idx="0"/>
                      <a:fontRef idx="none"/>
                    </wps:style>
                    <wps:bodyPr/>
                  </wps:wsp>
                  <wps:wsp>
                    <wps:cNvPr id="6205" name="Rectangle 6205"/>
                    <wps:cNvSpPr/>
                    <wps:spPr>
                      <a:xfrm>
                        <a:off x="3342767" y="2528316"/>
                        <a:ext cx="209905" cy="138324"/>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6"/>
                            </w:rPr>
                            <w:t xml:space="preserve">OM</w:t>
                          </w:r>
                        </w:p>
                      </w:txbxContent>
                    </wps:txbx>
                    <wps:bodyPr horzOverflow="overflow" rtlCol="0" vert="horz" lIns="0" tIns="0" rIns="0" bIns="0">
                      <a:noAutofit/>
                    </wps:bodyPr>
                  </wps:wsp>
                  <wps:wsp>
                    <wps:cNvPr id="6206" name="Rectangle 6206"/>
                    <wps:cNvSpPr/>
                    <wps:spPr>
                      <a:xfrm>
                        <a:off x="3342767" y="2634981"/>
                        <a:ext cx="155337" cy="207922"/>
                      </a:xfrm>
                      <a:prstGeom prst="rect">
                        <a:avLst/>
                      </a:prstGeom>
                      <a:ln>
                        <a:noFill/>
                      </a:ln>
                    </wps:spPr>
                    <wps:txbx>
                      <w:txbxContent>
                        <w:p>
                          <w:pPr>
                            <w:spacing w:before="0" w:after="160" w:line="259" w:lineRule="auto"/>
                            <w:ind w:left="0" w:right="0" w:firstLine="0"/>
                            <w:jc w:val="left"/>
                          </w:pPr>
                          <w:r>
                            <w:rPr>
                              <w:rFonts w:cs="Arial" w:hAnsi="Arial" w:eastAsia="Arial" w:ascii="Arial"/>
                              <w:b w:val="1"/>
                            </w:rPr>
                            <w:t xml:space="preserve">M</w:t>
                          </w:r>
                        </w:p>
                      </w:txbxContent>
                    </wps:txbx>
                    <wps:bodyPr horzOverflow="overflow" rtlCol="0" vert="horz" lIns="0" tIns="0" rIns="0" bIns="0">
                      <a:noAutofit/>
                    </wps:bodyPr>
                  </wps:wsp>
                  <wps:wsp>
                    <wps:cNvPr id="6207" name="Rectangle 6207"/>
                    <wps:cNvSpPr/>
                    <wps:spPr>
                      <a:xfrm>
                        <a:off x="3458845" y="2634981"/>
                        <a:ext cx="51809" cy="207922"/>
                      </a:xfrm>
                      <a:prstGeom prst="rect">
                        <a:avLst/>
                      </a:prstGeom>
                      <a:ln>
                        <a:noFill/>
                      </a:ln>
                    </wps:spPr>
                    <wps:txbx>
                      <w:txbxContent>
                        <w:p>
                          <w:pPr>
                            <w:spacing w:before="0" w:after="160" w:line="259" w:lineRule="auto"/>
                            <w:ind w:left="0" w:right="0" w:firstLine="0"/>
                            <w:jc w:val="left"/>
                          </w:pPr>
                          <w:r>
                            <w:rPr>
                              <w:rFonts w:cs="Arial" w:hAnsi="Arial" w:eastAsia="Arial" w:ascii="Arial"/>
                              <w:b w:val="1"/>
                            </w:rPr>
                            <w:t xml:space="preserve"> </w:t>
                          </w:r>
                        </w:p>
                      </w:txbxContent>
                    </wps:txbx>
                    <wps:bodyPr horzOverflow="overflow" rtlCol="0" vert="horz" lIns="0" tIns="0" rIns="0" bIns="0">
                      <a:noAutofit/>
                    </wps:bodyPr>
                  </wps:wsp>
                </wpg:wgp>
              </a:graphicData>
            </a:graphic>
          </wp:inline>
        </w:drawing>
      </w:r>
    </w:p>
    <w:p>
      <w:pPr>
        <w:pStyle w:val="heading2"/>
        <w:spacing w:before="0" w:after="9" w:line="249" w:lineRule="auto"/>
        <w:ind w:left="-5"/>
      </w:pPr>
      <w:r>
        <w:rPr/>
        <w:t xml:space="preserve">F.6 Project</w:t>
      </w:r>
      <w:r>
        <w:rPr/>
        <w:t xml:space="preserve"> </w:t>
      </w:r>
      <w:r>
        <w:rPr/>
        <w:t xml:space="preserve">Reporting Schedule</w:t>
      </w:r>
      <w:r>
        <w:rPr/>
        <w:t xml:space="preserve"> </w:t>
      </w:r>
    </w:p>
    <w:p>
      <w:pPr>
        <w:spacing w:before="0" w:after="0" w:line="259" w:lineRule="auto"/>
        <w:ind w:left="0" w:right="0" w:firstLine="0"/>
        <w:jc w:val="left"/>
      </w:pPr>
      <w:r>
        <w:rPr>
          <w:rFonts w:cs="Calibri" w:hAnsi="Calibri" w:eastAsia="Calibri" w:ascii="Calibri"/>
          <w:b w:val="1"/>
          <w:i w:val="1"/>
        </w:rPr>
        <w:t xml:space="preserve"> </w:t>
      </w:r>
    </w:p>
    <w:p>
      <w:pPr>
        <w:pStyle w:val="normal"/>
        <w:spacing w:before="0" w:after="3" w:line="248" w:lineRule="auto"/>
        <w:ind w:left="-5" w:right="754"/>
      </w:pPr>
      <w:r>
        <w:rPr/>
        <w:t xml:space="preserve">UNDP will submit the project document</w:t>
      </w:r>
      <w:r>
        <w:rPr/>
        <w:t xml:space="preserve"> </w:t>
      </w:r>
      <w:r>
        <w:rPr/>
        <w:t xml:space="preserve">including the Result and Resource Framework, Work Plans and a Budget to the PSC for approval before the launch of DEP. </w:t>
      </w:r>
      <w:r>
        <w:rPr/>
        <w:t xml:space="preserve"> </w:t>
      </w:r>
    </w:p>
    <w:p>
      <w:pPr>
        <w:spacing w:before="0" w:after="0" w:line="259" w:lineRule="auto"/>
        <w:ind w:left="0" w:right="0" w:firstLine="0"/>
        <w:jc w:val="left"/>
      </w:pPr>
      <w:r>
        <w:rPr/>
        <w:t xml:space="preserve"> </w:t>
      </w:r>
    </w:p>
    <w:p>
      <w:pPr>
        <w:pStyle w:val="normal"/>
        <w:spacing w:before="0" w:after="222" w:line="248" w:lineRule="auto"/>
        <w:ind w:left="-5" w:right="754"/>
      </w:pPr>
      <w:r>
        <w:rPr/>
        <w:t xml:space="preserve">Thereafter the following </w:t>
      </w:r>
      <w:r>
        <w:rPr>
          <w:rFonts w:cs="Calibri" w:hAnsi="Calibri" w:eastAsia="Calibri" w:ascii="Calibri"/>
          <w:b w:val="1"/>
        </w:rPr>
        <w:t xml:space="preserve">Reporting Schedule</w:t>
      </w:r>
      <w:r>
        <w:rPr/>
        <w:t xml:space="preserve"> </w:t>
      </w:r>
      <w:r>
        <w:rPr/>
        <w:t xml:space="preserve">will apply:</w:t>
      </w:r>
      <w:r>
        <w:rPr/>
        <w:t xml:space="preserve"> </w:t>
      </w:r>
    </w:p>
    <w:p>
      <w:pPr>
        <w:numPr>
          <w:ilvl w:val="0"/>
          <w:numId w:val="18"/>
        </w:numPr>
        <w:spacing w:before="0" w:after="0" w:line="265" w:lineRule="auto"/>
        <w:ind w:left="720" w:right="5436" w:hanging="360"/>
        <w:jc w:val="left"/>
      </w:pPr>
      <w:r>
        <w:rPr>
          <w:u w:val="single" w:color="000000"/>
        </w:rPr>
        <w:t xml:space="preserve">Quarterly</w:t>
      </w:r>
      <w:r>
        <w:rPr>
          <w:u w:val="single" w:color="000000"/>
        </w:rPr>
        <w:t xml:space="preserve"> </w:t>
      </w:r>
      <w:r>
        <w:rPr>
          <w:u w:val="single" w:color="000000"/>
        </w:rPr>
        <w:t xml:space="preserve">Progress Report to the TC</w:t>
      </w:r>
      <w:r>
        <w:rPr/>
        <w:t xml:space="preserve">:</w:t>
      </w:r>
      <w:r>
        <w:rPr/>
        <w:t xml:space="preserve"> </w:t>
      </w:r>
    </w:p>
    <w:p>
      <w:pPr>
        <w:pStyle w:val="normal"/>
        <w:spacing w:before="0" w:after="3" w:line="248" w:lineRule="auto"/>
        <w:ind w:left="1090" w:right="754"/>
      </w:pPr>
      <w:r>
        <w:rPr/>
        <w:t xml:space="preserve">Activity Report:</w:t>
      </w:r>
      <w:r>
        <w:rPr/>
        <w:t xml:space="preserve"> </w:t>
      </w:r>
    </w:p>
    <w:p>
      <w:pPr>
        <w:pStyle w:val="normal"/>
        <w:numPr>
          <w:ilvl w:val="1"/>
          <w:numId w:val="18"/>
        </w:numPr>
        <w:spacing w:before="0" w:after="3" w:line="248" w:lineRule="auto"/>
        <w:ind w:left="1440" w:right="754" w:hanging="360"/>
      </w:pPr>
      <w:r>
        <w:rPr/>
        <w:t xml:space="preserve">Activities carried out during reporting period</w:t>
      </w:r>
      <w:r>
        <w:rPr/>
        <w:t xml:space="preserve"> </w:t>
      </w:r>
    </w:p>
    <w:p>
      <w:pPr>
        <w:pStyle w:val="normal"/>
        <w:numPr>
          <w:ilvl w:val="1"/>
          <w:numId w:val="18"/>
        </w:numPr>
        <w:spacing w:before="0" w:after="3" w:line="248" w:lineRule="auto"/>
        <w:ind w:left="1440" w:right="754" w:hanging="360"/>
      </w:pPr>
      <w:r>
        <w:rPr/>
        <w:t xml:space="preserve">Difficulties encountered and measures taken to overcome</w:t>
      </w:r>
      <w:r>
        <w:rPr/>
        <w:t xml:space="preserve"> </w:t>
      </w:r>
    </w:p>
    <w:p>
      <w:pPr>
        <w:pStyle w:val="normal"/>
        <w:numPr>
          <w:ilvl w:val="1"/>
          <w:numId w:val="18"/>
        </w:numPr>
        <w:spacing w:before="0" w:after="3" w:line="248" w:lineRule="auto"/>
        <w:ind w:left="1440" w:right="754" w:hanging="360"/>
      </w:pPr>
      <w:r>
        <w:rPr/>
        <w:t xml:space="preserve">Risk mitigation measures taken and identification of emerging risks</w:t>
      </w:r>
      <w:r>
        <w:rPr/>
        <w:t xml:space="preserve"> </w:t>
      </w:r>
    </w:p>
    <w:p>
      <w:pPr>
        <w:pStyle w:val="normal"/>
        <w:numPr>
          <w:ilvl w:val="1"/>
          <w:numId w:val="18"/>
        </w:numPr>
        <w:spacing w:before="0" w:after="3" w:line="248" w:lineRule="auto"/>
        <w:ind w:left="1440" w:right="754" w:hanging="360"/>
      </w:pPr>
      <w:r>
        <w:rPr/>
        <w:t xml:space="preserve">Changes introduced in implementation</w:t>
      </w:r>
      <w:r>
        <w:rPr/>
        <w:t xml:space="preserve"> </w:t>
      </w:r>
    </w:p>
    <w:p>
      <w:pPr>
        <w:numPr>
          <w:ilvl w:val="1"/>
          <w:numId w:val="18"/>
        </w:numPr>
        <w:spacing w:before="0" w:after="34" w:line="239" w:lineRule="auto"/>
        <w:ind w:left="1440" w:right="754" w:hanging="360"/>
      </w:pPr>
      <w:r>
        <w:rPr/>
        <w:t xml:space="preserve">Progress towards achievement of expected results, assessed against indicators specified in the Annual Work Plan and</w:t>
      </w:r>
      <w:r>
        <w:rPr/>
        <w:t xml:space="preserve"> </w:t>
      </w:r>
      <w:r>
        <w:rPr/>
        <w:t xml:space="preserve">any other results based management framework</w:t>
      </w:r>
      <w:r>
        <w:rPr/>
        <w:t xml:space="preserve"> </w:t>
      </w:r>
    </w:p>
    <w:p>
      <w:pPr>
        <w:pStyle w:val="normal"/>
        <w:numPr>
          <w:ilvl w:val="1"/>
          <w:numId w:val="18"/>
        </w:numPr>
        <w:spacing w:before="0" w:after="3" w:line="248" w:lineRule="auto"/>
        <w:ind w:left="1440" w:right="754" w:hanging="360"/>
      </w:pPr>
      <w:r>
        <w:rPr/>
        <w:t xml:space="preserve">Work</w:t>
      </w:r>
      <w:r>
        <w:rPr/>
        <w:t xml:space="preserve">-</w:t>
      </w:r>
      <w:r>
        <w:rPr/>
        <w:t xml:space="preserve">plan for the next period</w:t>
      </w:r>
      <w:r>
        <w:rPr/>
        <w:t xml:space="preserve"> </w:t>
      </w:r>
    </w:p>
    <w:p>
      <w:pPr>
        <w:pStyle w:val="normal"/>
        <w:numPr>
          <w:ilvl w:val="1"/>
          <w:numId w:val="18"/>
        </w:numPr>
        <w:spacing w:before="0" w:after="3" w:line="248" w:lineRule="auto"/>
        <w:ind w:left="1440" w:right="754" w:hanging="360"/>
      </w:pPr>
      <w:r>
        <w:rPr/>
        <w:t xml:space="preserve">Financial update </w:t>
      </w:r>
      <w:r>
        <w:rPr/>
        <w:t xml:space="preserve"> </w:t>
      </w:r>
    </w:p>
    <w:p>
      <w:pPr>
        <w:pStyle w:val="normal"/>
        <w:numPr>
          <w:ilvl w:val="1"/>
          <w:numId w:val="18"/>
        </w:numPr>
        <w:spacing w:before="0" w:after="3" w:line="248" w:lineRule="auto"/>
        <w:ind w:left="1440" w:right="754" w:hanging="360"/>
      </w:pPr>
      <w:r>
        <w:rPr/>
        <w:t xml:space="preserve">Actual expenditures </w:t>
      </w:r>
      <w:r>
        <w:rPr/>
        <w:t xml:space="preserve"> </w:t>
      </w:r>
    </w:p>
    <w:p>
      <w:pPr>
        <w:numPr>
          <w:ilvl w:val="1"/>
          <w:numId w:val="18"/>
        </w:numPr>
        <w:spacing w:before="0" w:after="9" w:line="265" w:lineRule="auto"/>
        <w:ind w:left="1440" w:right="754" w:hanging="360"/>
      </w:pPr>
      <w:r>
        <w:rPr/>
        <w:t xml:space="preserve">Disbursements</w:t>
      </w:r>
      <w:r>
        <w:rPr/>
        <w:t xml:space="preserve"> </w:t>
      </w:r>
      <w:r>
        <w:rPr>
          <w:rFonts w:cs="Courier New" w:hAnsi="Courier New" w:eastAsia="Courier New" w:ascii="Courier New"/>
        </w:rPr>
        <w:t xml:space="preserve">o</w:t>
      </w:r>
      <w:r>
        <w:rPr>
          <w:rFonts w:cs="Arial" w:hAnsi="Arial" w:eastAsia="Arial" w:ascii="Arial"/>
        </w:rPr>
        <w:t xml:space="preserve"> </w:t>
      </w:r>
      <w:r>
        <w:rPr>
          <w:u w:val="single" w:color="000000"/>
        </w:rPr>
        <w:t xml:space="preserve">Semi</w:t>
      </w:r>
      <w:r>
        <w:rPr>
          <w:u w:val="single" w:color="000000"/>
        </w:rPr>
        <w:t xml:space="preserve">-</w:t>
      </w:r>
      <w:r>
        <w:rPr>
          <w:u w:val="single" w:color="000000"/>
        </w:rPr>
        <w:t xml:space="preserve">annual</w:t>
      </w:r>
      <w:r>
        <w:rPr>
          <w:u w:val="single" w:color="000000"/>
        </w:rPr>
        <w:t xml:space="preserve"> </w:t>
      </w:r>
      <w:r>
        <w:rPr>
          <w:u w:val="single" w:color="000000"/>
        </w:rPr>
        <w:t xml:space="preserve">Progress Report</w:t>
      </w:r>
      <w:r>
        <w:rPr/>
        <w:t xml:space="preserve"> </w:t>
      </w:r>
      <w:r>
        <w:rPr/>
        <w:t xml:space="preserve">to the PSC: </w:t>
      </w:r>
      <w:r>
        <w:rPr/>
        <w:t xml:space="preserve"> </w:t>
      </w:r>
    </w:p>
    <w:p>
      <w:pPr>
        <w:pStyle w:val="normal"/>
        <w:numPr>
          <w:ilvl w:val="1"/>
          <w:numId w:val="18"/>
        </w:numPr>
        <w:spacing w:before="0" w:after="3" w:line="248" w:lineRule="auto"/>
        <w:ind w:left="1440" w:right="754" w:hanging="360"/>
      </w:pPr>
      <w:r>
        <w:rPr/>
        <w:t xml:space="preserve">Activity Report:</w:t>
      </w:r>
      <w:r>
        <w:rPr/>
        <w:t xml:space="preserve"> </w:t>
      </w:r>
    </w:p>
    <w:p>
      <w:pPr>
        <w:pStyle w:val="normal"/>
        <w:numPr>
          <w:ilvl w:val="1"/>
          <w:numId w:val="18"/>
        </w:numPr>
        <w:spacing w:before="0" w:after="3" w:line="248" w:lineRule="auto"/>
        <w:ind w:left="1440" w:right="754" w:hanging="360"/>
      </w:pPr>
      <w:r>
        <w:rPr/>
        <w:t xml:space="preserve">Summary and context of the Action </w:t>
      </w:r>
      <w:r>
        <w:rPr/>
        <w:t xml:space="preserve"> </w:t>
      </w:r>
    </w:p>
    <w:p>
      <w:pPr>
        <w:pStyle w:val="normal"/>
        <w:numPr>
          <w:ilvl w:val="1"/>
          <w:numId w:val="18"/>
        </w:numPr>
        <w:spacing w:before="0" w:after="3" w:line="248" w:lineRule="auto"/>
        <w:ind w:left="1440" w:right="754" w:hanging="360"/>
      </w:pPr>
      <w:r>
        <w:rPr/>
        <w:t xml:space="preserve">Difficulties, challenges and risk mitigation measures</w:t>
      </w:r>
      <w:r>
        <w:rPr/>
        <w:t xml:space="preserve"> </w:t>
      </w:r>
    </w:p>
    <w:p>
      <w:pPr>
        <w:pStyle w:val="normal"/>
        <w:numPr>
          <w:ilvl w:val="1"/>
          <w:numId w:val="18"/>
        </w:numPr>
        <w:spacing w:before="0" w:after="25" w:line="248" w:lineRule="auto"/>
        <w:ind w:left="1440" w:right="754" w:hanging="360"/>
      </w:pPr>
      <w:r>
        <w:rPr/>
        <w:t xml:space="preserve">Recommendations for revisions in the scope and focus of project activities, with budget implications. </w:t>
      </w:r>
      <w:r>
        <w:rPr/>
        <w:t xml:space="preserve"> </w:t>
      </w:r>
    </w:p>
    <w:p>
      <w:pPr>
        <w:pStyle w:val="normal"/>
        <w:numPr>
          <w:ilvl w:val="1"/>
          <w:numId w:val="18"/>
        </w:numPr>
        <w:spacing w:before="0" w:after="3" w:line="248" w:lineRule="auto"/>
        <w:ind w:left="1440" w:right="754" w:hanging="360"/>
      </w:pPr>
      <w:r>
        <w:rPr/>
        <w:t xml:space="preserve">Financial Report submitted quarterly, to contain: </w:t>
      </w:r>
      <w:r>
        <w:rPr/>
        <w:t xml:space="preserve"> </w:t>
      </w:r>
    </w:p>
    <w:p>
      <w:pPr>
        <w:pStyle w:val="normal"/>
        <w:numPr>
          <w:ilvl w:val="1"/>
          <w:numId w:val="18"/>
        </w:numPr>
        <w:spacing w:before="0" w:after="3" w:line="248" w:lineRule="auto"/>
        <w:ind w:left="1440" w:right="754" w:hanging="360"/>
      </w:pPr>
      <w:r>
        <w:rPr/>
        <w:t xml:space="preserve">Contributions received</w:t>
      </w:r>
      <w:r>
        <w:rPr/>
        <w:t xml:space="preserve"> </w:t>
      </w:r>
    </w:p>
    <w:p>
      <w:pPr>
        <w:pStyle w:val="normal"/>
        <w:numPr>
          <w:ilvl w:val="1"/>
          <w:numId w:val="18"/>
        </w:numPr>
        <w:spacing w:before="0" w:after="28" w:line="248" w:lineRule="auto"/>
        <w:ind w:left="1440" w:right="754" w:hanging="360"/>
      </w:pPr>
      <w:r>
        <w:rPr/>
        <w:t xml:space="preserve">Estimated and actual expenditures by category (with explanations for significant variances)</w:t>
      </w:r>
      <w:r>
        <w:rPr/>
        <w:t xml:space="preserve"> </w:t>
      </w:r>
    </w:p>
    <w:p>
      <w:pPr>
        <w:numPr>
          <w:ilvl w:val="0"/>
          <w:numId w:val="18"/>
        </w:numPr>
        <w:spacing w:before="0" w:after="13" w:line="265" w:lineRule="auto"/>
        <w:ind w:left="720" w:right="5436" w:hanging="360"/>
        <w:jc w:val="left"/>
      </w:pPr>
      <w:r>
        <w:rPr>
          <w:u w:val="single" w:color="000000"/>
        </w:rPr>
        <w:t xml:space="preserve">Final Report:</w:t>
      </w:r>
      <w:r>
        <w:rPr/>
        <w:t xml:space="preserve"> </w:t>
      </w:r>
      <w:r>
        <w:rPr/>
        <w:t xml:space="preserve"> </w:t>
      </w:r>
    </w:p>
    <w:p>
      <w:pPr>
        <w:pStyle w:val="normal"/>
        <w:numPr>
          <w:ilvl w:val="1"/>
          <w:numId w:val="18"/>
        </w:numPr>
        <w:spacing w:before="0" w:after="3" w:line="248" w:lineRule="auto"/>
        <w:ind w:left="1440" w:right="754" w:hanging="360"/>
      </w:pPr>
      <w:r>
        <w:rPr/>
        <w:t xml:space="preserve">The Final Report will be submitted within three (3) months of the financial closing of the project.</w:t>
      </w:r>
      <w:r>
        <w:rPr/>
        <w:t xml:space="preserve"> </w:t>
      </w:r>
    </w:p>
    <w:p>
      <w:pPr>
        <w:pStyle w:val="normal"/>
        <w:numPr>
          <w:ilvl w:val="1"/>
          <w:numId w:val="18"/>
        </w:numPr>
        <w:spacing w:before="0" w:after="3" w:line="248" w:lineRule="auto"/>
        <w:ind w:left="1440" w:right="754" w:hanging="360"/>
      </w:pPr>
      <w:r>
        <w:rPr/>
        <w:t xml:space="preserve">Activity Report:</w:t>
      </w:r>
      <w:r>
        <w:rPr/>
        <w:t xml:space="preserve"> </w:t>
      </w:r>
    </w:p>
    <w:p>
      <w:pPr>
        <w:pStyle w:val="normal"/>
        <w:numPr>
          <w:ilvl w:val="1"/>
          <w:numId w:val="18"/>
        </w:numPr>
        <w:spacing w:before="0" w:after="3" w:line="248" w:lineRule="auto"/>
        <w:ind w:left="1440" w:right="754" w:hanging="360"/>
      </w:pPr>
      <w:r>
        <w:rPr/>
        <w:t xml:space="preserve">Summary and context of the project</w:t>
      </w:r>
      <w:r>
        <w:rPr/>
        <w:t xml:space="preserve"> </w:t>
      </w:r>
    </w:p>
    <w:p>
      <w:pPr>
        <w:pStyle w:val="normal"/>
        <w:numPr>
          <w:ilvl w:val="1"/>
          <w:numId w:val="18"/>
        </w:numPr>
        <w:spacing w:before="0" w:after="3" w:line="248" w:lineRule="auto"/>
        <w:ind w:left="1440" w:right="754" w:hanging="360"/>
      </w:pPr>
      <w:r>
        <w:rPr/>
        <w:t xml:space="preserve">Major activities carried out during the project</w:t>
      </w:r>
      <w:r>
        <w:rPr/>
        <w:t xml:space="preserve"> </w:t>
      </w:r>
    </w:p>
    <w:p>
      <w:pPr>
        <w:pStyle w:val="normal"/>
        <w:numPr>
          <w:ilvl w:val="1"/>
          <w:numId w:val="18"/>
        </w:numPr>
        <w:spacing w:before="0" w:after="3" w:line="248" w:lineRule="auto"/>
        <w:ind w:left="1440" w:right="754" w:hanging="360"/>
      </w:pPr>
      <w:r>
        <w:rPr/>
        <w:t xml:space="preserve">Difficulties/risks encountered and measures taken to overcome</w:t>
      </w:r>
      <w:r>
        <w:rPr/>
        <w:t xml:space="preserve"> </w:t>
      </w:r>
    </w:p>
    <w:p>
      <w:pPr>
        <w:pStyle w:val="normal"/>
        <w:numPr>
          <w:ilvl w:val="1"/>
          <w:numId w:val="18"/>
        </w:numPr>
        <w:spacing w:before="0" w:after="3" w:line="248" w:lineRule="auto"/>
        <w:ind w:left="1440" w:right="754" w:hanging="360"/>
      </w:pPr>
      <w:r>
        <w:rPr/>
        <w:t xml:space="preserve">Changes introduced in implementation</w:t>
      </w:r>
      <w:r>
        <w:rPr/>
        <w:t xml:space="preserve"> </w:t>
      </w:r>
    </w:p>
    <w:p>
      <w:pPr>
        <w:pStyle w:val="normal"/>
        <w:numPr>
          <w:ilvl w:val="1"/>
          <w:numId w:val="18"/>
        </w:numPr>
        <w:spacing w:before="0" w:after="3" w:line="248" w:lineRule="auto"/>
        <w:ind w:left="1440" w:right="754" w:hanging="360"/>
      </w:pPr>
      <w:r>
        <w:rPr/>
        <w:t xml:space="preserve">Lessons learned and best practices</w:t>
      </w:r>
      <w:r>
        <w:rPr/>
        <w:t xml:space="preserve"> </w:t>
      </w:r>
    </w:p>
    <w:p>
      <w:pPr>
        <w:pStyle w:val="normal"/>
        <w:numPr>
          <w:ilvl w:val="1"/>
          <w:numId w:val="18"/>
        </w:numPr>
        <w:spacing w:before="0" w:after="3" w:line="248" w:lineRule="auto"/>
        <w:ind w:left="1440" w:right="754" w:hanging="360"/>
      </w:pPr>
      <w:r>
        <w:rPr/>
        <w:t xml:space="preserve">Results achieved by assessing indicators outlined in the logical framework</w:t>
      </w:r>
      <w:r>
        <w:rPr/>
        <w:t xml:space="preserve"> </w:t>
      </w:r>
      <w:r>
        <w:rPr>
          <w:rFonts w:cs="Wingdings" w:hAnsi="Wingdings" w:eastAsia="Wingdings" w:ascii="Wingdings"/>
        </w:rPr>
        <w:t xml:space="preserve"></w:t>
      </w:r>
      <w:r>
        <w:rPr>
          <w:rFonts w:cs="Arial" w:hAnsi="Arial" w:eastAsia="Arial" w:ascii="Arial"/>
        </w:rPr>
        <w:t xml:space="preserve"> 	</w:t>
      </w:r>
      <w:r>
        <w:rPr/>
        <w:t xml:space="preserve">Financial Report:</w:t>
      </w:r>
      <w:r>
        <w:rPr/>
        <w:t xml:space="preserve"> </w:t>
      </w:r>
    </w:p>
    <w:p>
      <w:pPr>
        <w:pStyle w:val="normal"/>
        <w:numPr>
          <w:ilvl w:val="1"/>
          <w:numId w:val="18"/>
        </w:numPr>
        <w:spacing w:before="0" w:after="3" w:line="248" w:lineRule="auto"/>
        <w:ind w:left="1440" w:right="754" w:hanging="360"/>
      </w:pPr>
      <w:r>
        <w:rPr/>
        <w:t xml:space="preserve">Total contributions received </w:t>
      </w:r>
      <w:r>
        <w:rPr/>
        <w:t xml:space="preserve"> </w:t>
      </w:r>
    </w:p>
    <w:p>
      <w:pPr>
        <w:pStyle w:val="normal"/>
        <w:numPr>
          <w:ilvl w:val="1"/>
          <w:numId w:val="18"/>
        </w:numPr>
        <w:spacing w:before="0" w:after="26" w:line="248" w:lineRule="auto"/>
        <w:ind w:left="1440" w:right="754" w:hanging="360"/>
      </w:pPr>
      <w:r>
        <w:rPr/>
        <w:t xml:space="preserve">Summary</w:t>
      </w:r>
      <w:r>
        <w:rPr/>
        <w:t xml:space="preserve"> </w:t>
      </w:r>
      <w:r>
        <w:rPr/>
        <w:t xml:space="preserve">of expenditures by category compared (with original budget</w:t>
      </w:r>
      <w:r>
        <w:rPr/>
        <w:t xml:space="preserve"> </w:t>
      </w:r>
      <w:r>
        <w:rPr/>
        <w:t xml:space="preserve">with explanations for significant variances)</w:t>
      </w:r>
      <w:r>
        <w:rPr/>
        <w:t xml:space="preserve"> </w:t>
      </w:r>
    </w:p>
    <w:p>
      <w:pPr>
        <w:pStyle w:val="normal"/>
        <w:numPr>
          <w:ilvl w:val="1"/>
          <w:numId w:val="18"/>
        </w:numPr>
        <w:spacing w:before="0" w:after="67" w:line="248" w:lineRule="auto"/>
        <w:ind w:left="1440" w:right="754" w:hanging="360"/>
      </w:pPr>
      <w:r>
        <w:rPr/>
        <w:t xml:space="preserve">Recommendations and lessons for follow</w:t>
      </w:r>
      <w:r>
        <w:rPr/>
        <w:t xml:space="preserve">-</w:t>
      </w:r>
      <w:r>
        <w:rPr/>
        <w:t xml:space="preserve">up assistance projects </w:t>
      </w:r>
      <w:r>
        <w:rPr/>
        <w:t xml:space="preserve"> </w:t>
      </w:r>
      <w:r>
        <w:rPr>
          <w:rFonts w:cs="Courier New" w:hAnsi="Courier New" w:eastAsia="Courier New" w:ascii="Courier New"/>
        </w:rPr>
        <w:t xml:space="preserve">o</w:t>
      </w:r>
      <w:r>
        <w:rPr>
          <w:rFonts w:cs="Arial" w:hAnsi="Arial" w:eastAsia="Arial" w:ascii="Arial"/>
        </w:rPr>
        <w:t xml:space="preserve"> </w:t>
      </w:r>
      <w:r>
        <w:rPr>
          <w:u w:val="single" w:color="000000"/>
        </w:rPr>
        <w:t xml:space="preserve">Project Lessons Learnt Exercise</w:t>
      </w:r>
      <w:r>
        <w:rPr/>
        <w:t xml:space="preserve">:</w:t>
      </w:r>
      <w:r>
        <w:rPr/>
        <w:t xml:space="preserve"> </w:t>
      </w:r>
    </w:p>
    <w:p>
      <w:pPr>
        <w:pStyle w:val="normal"/>
        <w:numPr>
          <w:ilvl w:val="1"/>
          <w:numId w:val="18"/>
        </w:numPr>
        <w:spacing w:before="0" w:after="26" w:line="248" w:lineRule="auto"/>
        <w:ind w:left="1440" w:right="754" w:hanging="360"/>
      </w:pPr>
      <w:r>
        <w:rPr/>
        <w:t xml:space="preserve">DEP</w:t>
      </w:r>
      <w:r>
        <w:rPr/>
        <w:t xml:space="preserve"> </w:t>
      </w:r>
      <w:r>
        <w:rPr/>
        <w:t xml:space="preserve">will commission a Lessons Learnt Exercise.  The exercise, to be facilitated by an independent consultant(s), will be carried out at the end of the project and will be funded by the project itself. </w:t>
      </w:r>
      <w:r>
        <w:rPr/>
        <w:t xml:space="preserve"> </w:t>
      </w:r>
    </w:p>
    <w:p>
      <w:pPr>
        <w:spacing w:before="0" w:after="0" w:line="259" w:lineRule="auto"/>
        <w:ind w:left="0" w:right="0" w:firstLine="0"/>
        <w:jc w:val="left"/>
      </w:pPr>
      <w:r>
        <w:rPr/>
        <w:t xml:space="preserve"> </w:t>
      </w:r>
    </w:p>
    <w:p>
      <w:pPr>
        <w:pStyle w:val="heading1"/>
        <w:spacing w:before="0" w:after="38" w:line="259" w:lineRule="auto"/>
        <w:ind w:left="-4" w:right="0"/>
      </w:pPr>
      <w:r>
        <w:rPr/>
        <w:t xml:space="preserve">G. FINANCIAL ARRANGEMENTS</w:t>
      </w:r>
      <w:r>
        <w:rPr>
          <w:rFonts w:cs="Calibri" w:hAnsi="Calibri" w:eastAsia="Calibri" w:ascii="Calibri"/>
          <w:b w:val="0"/>
          <w:sz w:val="24"/>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In support of project implementation, it is proposed to ensure a funding modality</w:t>
      </w:r>
      <w:r>
        <w:rPr/>
        <w:t xml:space="preserve"> </w:t>
      </w:r>
      <w:r>
        <w:rPr/>
        <w:t xml:space="preserve">which has all the functionalities of a basket funding arrangement, i.e. that contributing donors make contributions against standardized and symmetric arrangements for reporting, audit</w:t>
      </w:r>
      <w:r>
        <w:rPr/>
        <w:t xml:space="preserve">.</w:t>
      </w:r>
      <w:r>
        <w:rPr/>
        <w:t xml:space="preserve">  </w:t>
      </w:r>
      <w:r>
        <w:rPr/>
        <w:t xml:space="preserve">A simple and straightforward arrangement is that contributing donors</w:t>
      </w:r>
      <w:r>
        <w:rPr/>
        <w:t xml:space="preserve"> </w:t>
      </w:r>
      <w:r>
        <w:rPr/>
        <w:t xml:space="preserve">enter into bilateral cost sharing agreements with UNDP as per the existing bilateral formats between the UNDP and respective donor.</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“basket fund” will therefore follow the same rules and regulations of any standard UNDP project, including audit and financial management. The project document signed by the Government and UNDP and the cost sharing agreement with each partner will constitute the total agreement between the partners. Consequently, UNDP will be fully accountable for managing the “basket fund” will and the oversight mechanisms of the project steering committee as well as UNDP’s corporate oversight arrangements apply. Periodic updates and financial reports will be provided as laid out in this document.</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standard cost sharing agreements each provides details on administration of financing, depositing and disbursement of funds, financial accountability, and other matters. Each agreement contains clauses on the duration and terms of termination of the same. Amendments to the CSA’s will be effected in accordance with bilateral agreements between UNDP and the Development Partner involved.</w:t>
      </w:r>
      <w:r>
        <w:rPr/>
        <w:t xml:space="preserve"> </w:t>
      </w:r>
    </w:p>
    <w:p>
      <w:pPr>
        <w:spacing w:before="0" w:after="218" w:line="259" w:lineRule="auto"/>
        <w:ind w:left="0" w:right="0" w:firstLine="0"/>
        <w:jc w:val="left"/>
      </w:pPr>
      <w:r>
        <w:rPr/>
        <w:t xml:space="preserve"> </w:t>
      </w:r>
    </w:p>
    <w:p>
      <w:pPr>
        <w:pStyle w:val="heading2"/>
        <w:spacing w:before="0" w:after="107" w:line="249" w:lineRule="auto"/>
        <w:ind w:left="-5"/>
      </w:pPr>
      <w:r>
        <w:rPr/>
        <w:t xml:space="preserve">G.1 Direct Implementation</w:t>
      </w:r>
      <w:r>
        <w:rPr/>
        <w:t xml:space="preserve"> </w:t>
      </w:r>
    </w:p>
    <w:p>
      <w:pPr>
        <w:pStyle w:val="normal"/>
        <w:spacing w:before="0" w:after="3" w:line="248" w:lineRule="auto"/>
        <w:ind w:left="-5" w:right="754"/>
      </w:pPr>
      <w:r>
        <w:rPr/>
        <w:t xml:space="preserve">Due to the nature of the needs and support, and building on the demonstrated value for money outcomes under the ESP, the project will</w:t>
      </w:r>
      <w:r>
        <w:rPr/>
        <w:t xml:space="preserve"> </w:t>
      </w:r>
      <w:r>
        <w:rPr/>
        <w:t xml:space="preserve">be implemented through the Direct Implementation Modality (DIM/DEX) by UNDP under the overall guiding principle of maximizing the ownership and leadership of national institutions in the electoral cycle and process. Generally, the international assistance</w:t>
      </w:r>
      <w:r>
        <w:rPr/>
        <w:t xml:space="preserve"> </w:t>
      </w:r>
      <w:r>
        <w:rPr/>
        <w:t xml:space="preserve">provided is considered as an extension of national resources, and is intended to support national management and coordination structures, with additional project implementation capacity provided by a small project team, to be enlarged as required in the year (plus) in advance of the 2015 general election.  This arrangement will help address the expectations for the project to deliver services at a high pace, especially in election year, and with some considerable degree of flexibility. </w:t>
      </w:r>
      <w:r>
        <w:rPr/>
        <w:t xml:space="preserve"> </w:t>
      </w:r>
      <w:r>
        <w:rPr/>
        <w:t xml:space="preserve">In the One UN context, as was the successful case with the 2010  election ESP, other UN agencies including UN Women and UNESCO will be implementation partners where they bring expertise and added value to needs such as the  gender dimension and empowerment of women, communications and community media, dialogues for peaceful environment and other.  In the 2010 election ESP, UN Women delivered the women’s radio listening groups activity with the involvement of UNESCO, and also trained women candidates. UN Women have a specific commitment for UNDAP 2011</w:t>
      </w:r>
      <w:r>
        <w:rPr/>
        <w:t xml:space="preserve">-</w:t>
      </w:r>
      <w:r>
        <w:rPr/>
        <w:t xml:space="preserve">2015 </w:t>
      </w:r>
      <w:r>
        <w:rPr/>
        <w:t xml:space="preserve">action to advance women in internal political party elections as part of improving internal party democracy. UNESCO has a similar commitment to action to promote peace and conflict prevention.</w:t>
      </w:r>
      <w:r>
        <w:rPr/>
        <w:t xml:space="preserve"> </w:t>
      </w:r>
    </w:p>
    <w:p>
      <w:pPr>
        <w:spacing w:before="0" w:after="338" w:line="259" w:lineRule="auto"/>
        <w:ind w:left="0" w:right="0" w:firstLine="0"/>
        <w:jc w:val="left"/>
      </w:pPr>
      <w:r>
        <w:rPr/>
        <w:t xml:space="preserve"> </w:t>
      </w:r>
    </w:p>
    <w:p>
      <w:pPr>
        <w:pStyle w:val="heading1"/>
        <w:spacing w:before="0" w:after="38" w:line="259" w:lineRule="auto"/>
        <w:ind w:left="-4" w:right="0"/>
      </w:pPr>
      <w:r>
        <w:rPr/>
        <w:t xml:space="preserve">H. LEGAL CONTEXT</w:t>
      </w:r>
      <w:r>
        <w:rPr/>
        <w:t xml:space="preserve"> </w:t>
      </w:r>
    </w:p>
    <w:p>
      <w:pPr>
        <w:pStyle w:val="normal"/>
        <w:spacing w:before="0" w:after="3" w:line="248" w:lineRule="auto"/>
        <w:ind w:left="-5" w:right="754"/>
      </w:pPr>
      <w:r>
        <w:rPr/>
        <w:t xml:space="preserve">This document constitute a Project Document as referred to in the SBAA signed between the UN and United Republic of Tanzania in May 30, 1978 and all CPAP (2006</w:t>
      </w:r>
      <w:r>
        <w:rPr/>
        <w:t xml:space="preserve">-</w:t>
      </w:r>
      <w:r>
        <w:rPr/>
        <w:t xml:space="preserve">2010) provisions apply to this document.  </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Consistent with the Article III of the Standard Basic Assistance Agreement, the responsibility for the safety and security of the implementing agent and its personnel and property, and of UNDP’s property in the implementing partner’s custody, rests with the implementing agent. </w:t>
      </w:r>
      <w:r>
        <w:rPr/>
        <w:t xml:space="preserve"> </w:t>
      </w:r>
    </w:p>
    <w:p>
      <w:pPr>
        <w:pStyle w:val="normal"/>
        <w:spacing w:before="0" w:after="3" w:line="248" w:lineRule="auto"/>
        <w:ind w:left="-5" w:right="754"/>
      </w:pPr>
      <w:r>
        <w:rPr/>
        <w:t xml:space="preserve">The implementing agent shall:</w:t>
      </w:r>
      <w:r>
        <w:rPr/>
        <w:t xml:space="preserve"> </w:t>
      </w:r>
    </w:p>
    <w:p>
      <w:pPr>
        <w:pStyle w:val="normal"/>
        <w:spacing w:before="0" w:after="3" w:line="248" w:lineRule="auto"/>
        <w:ind w:left="-5" w:right="754"/>
      </w:pPr>
      <w:r>
        <w:rPr/>
        <w:t xml:space="preserve">Put in place an appropriate security plan and maintain the security plan, taking into account the security situation in the country where the project is being carried;</w:t>
      </w:r>
      <w:r>
        <w:rPr/>
        <w:t xml:space="preserve"> </w:t>
      </w:r>
    </w:p>
    <w:p>
      <w:pPr>
        <w:pStyle w:val="normal"/>
        <w:spacing w:before="0" w:after="3" w:line="248" w:lineRule="auto"/>
        <w:ind w:left="-5" w:right="754"/>
      </w:pPr>
      <w:r>
        <w:rPr/>
        <w:t xml:space="preserve">Assume all risks and liabilities related to the implementing partner’s security, and the full implementation of the security plan.</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UNDP reserves the right to verify whether such a plan is in place, and to suggest modifications to the plan when necessary. Failure to maintain and implement an appropriate security plan as required hereunder shall be deemed a breach of this agreement.</w:t>
      </w:r>
      <w:r>
        <w:rPr/>
        <w:t xml:space="preserve"> </w:t>
      </w:r>
    </w:p>
    <w:p>
      <w:pPr>
        <w:spacing w:before="0" w:after="0" w:line="259" w:lineRule="auto"/>
        <w:ind w:left="0" w:right="0" w:firstLine="0"/>
        <w:jc w:val="left"/>
      </w:pPr>
      <w:r>
        <w:rPr/>
        <w:t xml:space="preserve"> </w:t>
      </w:r>
    </w:p>
    <w:p>
      <w:pPr>
        <w:pStyle w:val="normal"/>
        <w:spacing w:before="0" w:after="3" w:line="248" w:lineRule="auto"/>
        <w:ind w:left="-5" w:right="754"/>
      </w:pPr>
      <w:r>
        <w:rPr/>
        <w:t xml:space="preserve">The implementing partner agrees to undertake all reasonable efforts to ensure that none of the UNDP funds received pursuant to the Project Document are used to provide support to individuals or entities associated with terrorism and that the recipients of any amounts provided by UNDP hereunder do not appear on the list maintained by the Security Council Committee established pursuant to resolution 1267 (1999). The list can be accessed via </w:t>
      </w:r>
      <w:hyperlink r:id="hyperlink6648">
        <w:r>
          <w:rPr>
            <w:color w:val="0000ff"/>
            <w:u w:val="single" w:color="0000ff"/>
          </w:rPr>
          <w:t xml:space="preserve">http://www.un.org/Docs/sc/committees/1267/1267ListEng.htm</w:t>
        </w:r>
      </w:hyperlink>
      <w:hyperlink r:id="hyperlink6648">
        <w:r>
          <w:rPr>
            <w:color w:val="000080"/>
          </w:rPr>
          <w:t xml:space="preserve">.</w:t>
        </w:r>
      </w:hyperlink>
      <w:r>
        <w:rPr>
          <w:color w:val="000080"/>
        </w:rPr>
        <w:t xml:space="preserve"> </w:t>
      </w:r>
      <w:r>
        <w:rPr/>
        <w:t xml:space="preserve">This provision must be included in all sub</w:t>
      </w:r>
      <w:r>
        <w:rPr/>
        <w:t xml:space="preserve">-</w:t>
      </w:r>
      <w:r>
        <w:rPr/>
        <w:t xml:space="preserve">contracts or sub</w:t>
      </w:r>
      <w:r>
        <w:rPr/>
        <w:t xml:space="preserve">-</w:t>
      </w:r>
      <w:r>
        <w:rPr/>
        <w:t xml:space="preserve">agreements entered into under this Project Document”. </w:t>
      </w:r>
      <w:r>
        <w:rPr/>
        <w:t xml:space="preserve"> </w:t>
      </w:r>
    </w:p>
    <w:p>
      <w:pPr>
        <w:spacing w:before="0" w:after="0" w:line="259" w:lineRule="auto"/>
        <w:ind w:left="0" w:right="0" w:firstLine="0"/>
        <w:jc w:val="left"/>
      </w:pPr>
      <w:r>
        <w:rPr>
          <w:rFonts w:cs="Times New Roman" w:hAnsi="Times New Roman" w:eastAsia="Times New Roman" w:ascii="Times New Roman"/>
          <w:b w:val="1"/>
          <w:sz w:val="24"/>
        </w:rPr>
        <w:t xml:space="preserve"> </w:t>
      </w:r>
    </w:p>
    <w:p>
      <w:pPr>
        <w:spacing w:before="0" w:after="0" w:line="259" w:lineRule="auto"/>
        <w:ind w:left="0" w:right="0" w:firstLine="0"/>
        <w:jc w:val="left"/>
      </w:pPr>
      <w:r>
        <w:rPr/>
        <w:t xml:space="preserve"> </w:t>
      </w:r>
    </w:p>
    <w:p>
      <w:pPr>
        <w:spacing w:before="0" w:after="379" w:line="259" w:lineRule="auto"/>
        <w:ind w:left="360" w:right="0" w:firstLine="0"/>
        <w:jc w:val="left"/>
      </w:pPr>
      <w:r>
        <w:rPr>
          <w:rFonts w:cs="Calibri" w:hAnsi="Calibri" w:eastAsia="Calibri" w:ascii="Calibri"/>
          <w:b w:val="1"/>
        </w:rPr>
        <w:t xml:space="preserve"> </w:t>
      </w:r>
    </w:p>
    <w:p>
      <w:pPr>
        <w:pStyle w:val="heading1"/>
        <w:spacing w:before="0" w:after="38" w:line="259" w:lineRule="auto"/>
        <w:ind w:left="-4" w:right="0"/>
      </w:pPr>
      <w:r>
        <w:rPr/>
        <w:t xml:space="preserve">I. MONITORING AND EVALUATION FRAMEWORK </w:t>
      </w:r>
      <w:r>
        <w:rPr/>
        <w:t xml:space="preserve">  </w:t>
      </w:r>
    </w:p>
    <w:p>
      <w:pPr>
        <w:spacing w:before="0" w:after="35" w:line="259" w:lineRule="auto"/>
        <w:ind w:left="0" w:right="0" w:firstLine="0"/>
        <w:jc w:val="left"/>
      </w:pPr>
      <w:r>
        <w:rPr>
          <w:sz w:val="20"/>
        </w:rPr>
        <w:t xml:space="preserve"> </w:t>
      </w:r>
    </w:p>
    <w:p>
      <w:pPr>
        <w:pStyle w:val="normal"/>
        <w:spacing w:before="0" w:after="222" w:line="248" w:lineRule="auto"/>
        <w:ind w:left="-5" w:right="754"/>
      </w:pPr>
      <w:r>
        <w:rPr/>
        <w:t xml:space="preserve">In</w:t>
      </w:r>
      <w:r>
        <w:rPr/>
        <w:t xml:space="preserve"> </w:t>
      </w:r>
      <w:r>
        <w:rPr/>
        <w:t xml:space="preserve">terms of monitoring and evaluation, the project will be subjected</w:t>
      </w:r>
      <w:r>
        <w:rPr/>
        <w:t xml:space="preserve"> </w:t>
      </w:r>
      <w:r>
        <w:rPr/>
        <w:t xml:space="preserve">to UNDP’s current Monitoring and Evaluation procedures and any additional policies and procedures agreed to by the implementing agents, the project partners and UNDP. An</w:t>
      </w:r>
      <w:r>
        <w:rPr/>
        <w:t xml:space="preserve"> </w:t>
      </w:r>
      <w:r>
        <w:rPr/>
        <w:t xml:space="preserve">M&amp;E framework will be developed in the first 6 months of project implementation. This document will provide/confirm project targets and expected results against agreed</w:t>
      </w:r>
      <w:r>
        <w:rPr/>
        <w:t xml:space="preserve"> </w:t>
      </w:r>
      <w:r>
        <w:rPr/>
        <w:t xml:space="preserve">indicators. Monitoring visits to project sites and activities will be conducted by UNDP project staff as required. </w:t>
      </w:r>
      <w:r>
        <w:rPr/>
        <w:t xml:space="preserve"> </w:t>
      </w:r>
    </w:p>
    <w:p>
      <w:pPr>
        <w:pStyle w:val="normal"/>
        <w:spacing w:before="0" w:after="166" w:line="345" w:lineRule="auto"/>
        <w:ind w:left="-5" w:right="754"/>
      </w:pPr>
      <w:r>
        <w:rPr/>
        <w:t xml:space="preserve">The project will appoint an M&amp;E expert to build</w:t>
      </w:r>
      <w:r>
        <w:rPr/>
        <w:t xml:space="preserve"> </w:t>
      </w:r>
      <w:r>
        <w:rPr/>
        <w:t xml:space="preserve">in</w:t>
      </w:r>
      <w:r>
        <w:rPr/>
        <w:t xml:space="preserve">-</w:t>
      </w:r>
      <w:r>
        <w:rPr/>
        <w:t xml:space="preserve">house capacity and to guide and advise project staff on issues of quality assurance and risk management in all activity implementation. The key methods that will be used in monitoring progress towards the project outcomes/outputs</w:t>
      </w:r>
      <w:r>
        <w:rPr/>
        <w:t xml:space="preserve"> </w:t>
      </w:r>
      <w:r>
        <w:rPr/>
        <w:t xml:space="preserve">will entail:</w:t>
      </w:r>
      <w:r>
        <w:rPr/>
        <w:t xml:space="preserve"> </w:t>
      </w:r>
      <w:r>
        <w:rPr/>
        <w:t xml:space="preserve">a.</w:t>
      </w:r>
      <w:r>
        <w:rPr>
          <w:rFonts w:cs="Arial" w:hAnsi="Arial" w:eastAsia="Arial" w:ascii="Arial"/>
        </w:rPr>
        <w:t xml:space="preserve"> </w:t>
      </w:r>
      <w:r>
        <w:rPr/>
        <w:t xml:space="preserve">Within the annual cycle:</w:t>
      </w:r>
      <w:r>
        <w:rPr/>
        <w:t xml:space="preserve"> </w:t>
      </w:r>
    </w:p>
    <w:p>
      <w:pPr>
        <w:pStyle w:val="normal"/>
        <w:numPr>
          <w:ilvl w:val="0"/>
          <w:numId w:val="19"/>
        </w:numPr>
        <w:spacing w:before="0" w:after="169" w:line="248" w:lineRule="auto"/>
        <w:ind w:left="720" w:right="754" w:hanging="360"/>
      </w:pPr>
      <w:r>
        <w:rPr/>
        <w:t xml:space="preserve">Regular PSC meetings, ensuring good planning, follow</w:t>
      </w:r>
      <w:r>
        <w:rPr/>
        <w:t xml:space="preserve">-</w:t>
      </w:r>
      <w:r>
        <w:rPr/>
        <w:t xml:space="preserve">up and results focus</w:t>
      </w:r>
      <w:r>
        <w:rPr/>
        <w:t xml:space="preserve"> </w:t>
      </w:r>
    </w:p>
    <w:p>
      <w:pPr>
        <w:pStyle w:val="normal"/>
        <w:numPr>
          <w:ilvl w:val="0"/>
          <w:numId w:val="19"/>
        </w:numPr>
        <w:spacing w:before="0" w:after="184" w:line="248" w:lineRule="auto"/>
        <w:ind w:left="720" w:right="754" w:hanging="360"/>
      </w:pPr>
      <w:r>
        <w:rPr/>
        <w:t xml:space="preserve">Quarterly and Semi</w:t>
      </w:r>
      <w:r>
        <w:rPr/>
        <w:t xml:space="preserve">-</w:t>
      </w:r>
      <w:r>
        <w:rPr/>
        <w:t xml:space="preserve">annual</w:t>
      </w:r>
      <w:r>
        <w:rPr/>
        <w:t xml:space="preserve"> </w:t>
      </w:r>
      <w:r>
        <w:rPr/>
        <w:t xml:space="preserve">Project Reports  which will assess outcome and activity progress and review and make</w:t>
      </w:r>
      <w:r>
        <w:rPr/>
        <w:t xml:space="preserve"> </w:t>
      </w:r>
      <w:r>
        <w:rPr/>
        <w:t xml:space="preserve">decisions to effect timely changes when necessary</w:t>
      </w:r>
      <w:r>
        <w:rPr/>
        <w:t xml:space="preserve"> </w:t>
      </w:r>
    </w:p>
    <w:p>
      <w:pPr>
        <w:pStyle w:val="normal"/>
        <w:numPr>
          <w:ilvl w:val="0"/>
          <w:numId w:val="19"/>
        </w:numPr>
        <w:spacing w:before="0" w:after="28" w:line="248" w:lineRule="auto"/>
        <w:ind w:left="720" w:right="754" w:hanging="360"/>
      </w:pPr>
      <w:r>
        <w:rPr/>
        <w:t xml:space="preserve">Use of Atlas</w:t>
      </w:r>
      <w:r>
        <w:rPr>
          <w:vertAlign w:val="superscript"/>
        </w:rPr>
        <w:footnoteReference w:id="113"/>
      </w:r>
      <w:r>
        <w:rPr/>
        <w:t xml:space="preserve"> </w:t>
      </w:r>
      <w:r>
        <w:rPr/>
        <w:t xml:space="preserve">as a key resource to track activity implementation and resource disbursement to achieve target results: activate Issue Log to facilitate resolution of potential problems</w:t>
      </w:r>
      <w:r>
        <w:rPr/>
        <w:t xml:space="preserve"> </w:t>
      </w:r>
      <w:r>
        <w:rPr/>
        <w:t xml:space="preserve">which require attention; and activate Risk Log to assess and respond to external environment that may affect project implementation  </w:t>
      </w:r>
      <w:r>
        <w:rPr/>
        <w:t xml:space="preserve"> </w:t>
      </w:r>
    </w:p>
    <w:p>
      <w:pPr>
        <w:sectPr>
          <w:headerReference w:type="even" r:id="rId29"/>
          <w:headerReference w:type="default" r:id="rId27"/>
          <w:headerReference w:type="first" r:id="rId25"/>
          <w:footerReference w:type="even" r:id="rId30"/>
          <w:footerReference w:type="default" r:id="rId28"/>
          <w:footerReference w:type="first" r:id="rId26"/>
          <w:pgSz w:w="11906" w:h="16838" w:orient="portrait"/>
          <w:pgMar w:footer="722" w:left="1440" w:top="1446" w:right="674" w:bottom="1437"/>
          <w:pgNumType w:fmt="decimal"/>
          <w:cols/>
        </w:sectPr>
      </w:pPr>
    </w:p>
    <w:p>
      <w:pPr>
        <w:numPr>
          <w:ilvl w:val="0"/>
          <w:numId w:val="20"/>
        </w:numPr>
        <w:spacing w:before="0" w:after="1" w:line="249" w:lineRule="auto"/>
        <w:ind w:left="720" w:right="0" w:hanging="360"/>
      </w:pPr>
      <w:r>
        <w:rPr>
          <w:rFonts w:cs="Calibri" w:hAnsi="Calibri" w:eastAsia="Calibri" w:ascii="Calibri"/>
        </w:rPr>
        <w:t xml:space="preserve">The goal of all Monitoring and Evaluation exercises is to collect evidence of results and lessons and incorporate these to the further improvement of the project on an on-going  </w:t>
      </w:r>
    </w:p>
    <w:p>
      <w:pPr>
        <w:spacing w:before="0" w:after="46" w:line="259" w:lineRule="auto"/>
        <w:ind w:left="720" w:right="0" w:firstLine="0"/>
        <w:jc w:val="left"/>
      </w:pPr>
      <w:r>
        <w:rPr>
          <w:rFonts w:cs="Calibri" w:hAnsi="Calibri" w:eastAsia="Calibri" w:ascii="Calibri"/>
        </w:rPr>
        <w:t xml:space="preserve"> </w:t>
      </w:r>
    </w:p>
    <w:p>
      <w:pPr>
        <w:numPr>
          <w:ilvl w:val="0"/>
          <w:numId w:val="20"/>
        </w:numPr>
        <w:spacing w:before="0" w:after="0" w:line="249" w:lineRule="auto"/>
        <w:ind w:left="720" w:right="0" w:hanging="360"/>
      </w:pPr>
      <w:r>
        <w:rPr>
          <w:rFonts w:cs="Calibri" w:hAnsi="Calibri" w:eastAsia="Calibri" w:ascii="Calibri"/>
        </w:rPr>
        <w:t xml:space="preserve">Besides the PMT and Steering Committee, all project activities will be closely monitored by the UNDP Country Office staff and management for quality assurance purposes and adherence to UNDP rules and procedures  </w:t>
      </w:r>
    </w:p>
    <w:p>
      <w:pPr>
        <w:spacing w:before="0" w:after="177" w:line="259" w:lineRule="auto"/>
        <w:ind w:left="720" w:right="0" w:firstLine="0"/>
        <w:jc w:val="left"/>
      </w:pPr>
      <w:r>
        <w:rPr>
          <w:rFonts w:cs="Calibri" w:hAnsi="Calibri" w:eastAsia="Calibri" w:ascii="Calibri"/>
        </w:rPr>
        <w:t xml:space="preserve"> </w:t>
      </w:r>
    </w:p>
    <w:p>
      <w:pPr>
        <w:spacing w:before="0" w:after="189" w:line="249" w:lineRule="auto"/>
        <w:ind w:left="-5" w:right="0" w:hanging="10"/>
      </w:pPr>
      <w:r>
        <w:rPr>
          <w:rFonts w:cs="Calibri" w:hAnsi="Calibri" w:eastAsia="Calibri" w:ascii="Calibri"/>
        </w:rPr>
        <w:t xml:space="preserve">b. Audit: </w:t>
      </w:r>
    </w:p>
    <w:p>
      <w:pPr>
        <w:spacing w:before="0" w:after="189" w:line="249" w:lineRule="auto"/>
        <w:ind w:left="-5" w:right="0" w:hanging="10"/>
      </w:pPr>
      <w:r>
        <w:rPr>
          <w:rFonts w:cs="Calibri" w:hAnsi="Calibri" w:eastAsia="Calibri" w:ascii="Calibri"/>
        </w:rPr>
        <w:t xml:space="preserve">The Contribution shall be subject exclusively to the internal and external auditing procedures provided for in the financial regulations, rules, policies and procedures of UNDP.  Should the annual Audit Report of the UN Board of Auditors to its governing body contain observations relevant to the Contribution, such information shall be made available to the Donor by the country office. c. Evaluations: </w:t>
      </w:r>
    </w:p>
    <w:p>
      <w:pPr>
        <w:spacing w:before="0" w:after="189" w:line="249" w:lineRule="auto"/>
        <w:ind w:left="-5" w:right="0" w:hanging="10"/>
      </w:pPr>
      <w:r>
        <w:rPr>
          <w:rFonts w:cs="Calibri" w:hAnsi="Calibri" w:eastAsia="Calibri" w:ascii="Calibri"/>
        </w:rPr>
        <w:t xml:space="preserve">There will be a mid-term evaluation of the project progress in mid 2014. The first exercise will allow for the updating of project results following the completion of the constitutional review process. A final independent evaluation will be completed at the close of program activities as is customary for UNDP project management.  </w:t>
      </w:r>
    </w:p>
    <w:p>
      <w:pPr>
        <w:spacing w:before="0" w:after="177" w:line="259" w:lineRule="auto"/>
        <w:ind w:left="0" w:right="0" w:firstLine="0"/>
        <w:jc w:val="left"/>
      </w:pPr>
      <w:r>
        <w:rPr>
          <w:rFonts w:cs="Calibri" w:hAnsi="Calibri" w:eastAsia="Calibri" w:ascii="Calibri"/>
        </w:rPr>
        <w:t xml:space="preserve"> </w:t>
      </w:r>
    </w:p>
    <w:p>
      <w:pPr>
        <w:pStyle w:val="heading4"/>
        <w:spacing w:before="0" w:after="175" w:line="259" w:lineRule="auto"/>
        <w:ind w:left="0" w:right="0" w:firstLine="0"/>
      </w:pPr>
      <w:r>
        <w:rPr>
          <w:rFonts w:cs="Calibri" w:hAnsi="Calibri" w:eastAsia="Calibri" w:ascii="Calibri"/>
        </w:rPr>
        <w:t xml:space="preserve">II. VISIBILITY  </w:t>
      </w:r>
    </w:p>
    <w:p>
      <w:pPr>
        <w:spacing w:before="0" w:after="0" w:line="249" w:lineRule="auto"/>
        <w:ind w:left="-5" w:right="380" w:hanging="10"/>
      </w:pPr>
      <w:r>
        <w:rPr>
          <w:rFonts w:cs="Calibri" w:hAnsi="Calibri" w:eastAsia="Calibri" w:ascii="Calibri"/>
        </w:rPr>
        <w:t xml:space="preserve">The Project staff will ensure that the results of the Project are well communicated with the acknowledgement of the donors whose contributions led to them. Within the inception phase of the project, a communication and visibility strategy outlining the related communication activities will be discussed and agreed upon through the project’s management structure.  </w:t>
      </w:r>
    </w:p>
    <w:p>
      <w:pPr>
        <w:spacing w:before="0" w:after="197" w:line="259" w:lineRule="auto"/>
        <w:ind w:left="0" w:right="0" w:firstLine="0"/>
        <w:jc w:val="left"/>
      </w:pPr>
      <w:r>
        <w:rPr>
          <w:rFonts w:cs="Calibri" w:hAnsi="Calibri" w:eastAsia="Calibri" w:ascii="Calibri"/>
        </w:rPr>
        <w:t xml:space="preserve"> </w:t>
      </w:r>
    </w:p>
    <w:p>
      <w:pPr>
        <w:spacing w:before="0" w:after="156" w:line="259" w:lineRule="auto"/>
        <w:ind w:left="0" w:right="0" w:firstLine="0"/>
        <w:jc w:val="left"/>
      </w:pPr>
      <w:r>
        <w:rPr>
          <w:rFonts w:cs="Calibri" w:hAnsi="Calibri" w:eastAsia="Calibri" w:ascii="Calibri"/>
          <w:sz w:val="24"/>
        </w:rPr>
        <w:t xml:space="preserve"> </w:t>
      </w:r>
    </w:p>
    <w:p>
      <w:pPr>
        <w:spacing w:before="0" w:after="0" w:line="259" w:lineRule="auto"/>
        <w:ind w:left="0" w:right="0" w:firstLine="0"/>
        <w:jc w:val="left"/>
      </w:pPr>
      <w:r>
        <w:rPr>
          <w:rFonts w:cs="Calibri" w:hAnsi="Calibri" w:eastAsia="Calibri" w:ascii="Calibri"/>
        </w:rPr>
        <w:t xml:space="preserve"> </w:t>
      </w:r>
    </w:p>
    <w:p>
      <w:pPr>
        <w:pStyle w:val="heading4"/>
        <w:spacing w:before="0" w:after="0" w:line="259" w:lineRule="auto"/>
        <w:ind w:left="-4" w:right="0"/>
      </w:pPr>
      <w:r>
        <w:rPr/>
        <w:t xml:space="preserve">ANNEX II: TORs</w:t>
      </w:r>
      <w:r>
        <w:rPr/>
        <w:t xml:space="preserve"> </w:t>
      </w:r>
      <w:r>
        <w:rPr/>
        <w:t xml:space="preserve">OF KEY INTERNATIONAL POSITIONS</w:t>
      </w:r>
      <w:r>
        <w:rPr/>
        <w:t xml:space="preserve"> </w:t>
      </w:r>
    </w:p>
    <w:tbl>
      <w:tblPr>
        <w:tblStyle w:val="TableGrid"/>
        <w:tblW w:w="8855" w:type="dxa"/>
        <w:tblInd w:w="-106" w:type="dxa"/>
        <w:tblCellMar>
          <w:top w:w="44" w:type="dxa"/>
          <w:left w:w="107" w:type="dxa"/>
          <w:bottom w:w="7" w:type="dxa"/>
          <w:right w:w="57" w:type="dxa"/>
        </w:tblCellMar>
      </w:tblPr>
      <w:tblGrid>
        <w:gridCol w:w="4427"/>
        <w:gridCol w:w="4428"/>
      </w:tblGrid>
      <w:tr>
        <w:trPr>
          <w:trHeight w:val="545" w:hRule="atLeast"/>
        </w:trPr>
        <w:tc>
          <w:tcPr>
            <w:tcW w:w="8855" w:type="dxa"/>
            <w:gridSpan w:val="2"/>
            <w:tcBorders>
              <w:top w:val="single" w:sz="4" w:color="000000"/>
              <w:left w:val="single" w:sz="4" w:color="000000"/>
              <w:bottom w:val="single" w:sz="4" w:color="000000"/>
              <w:right w:val="single" w:sz="4" w:color="000000"/>
            </w:tcBorders>
            <w:shd w:val="clear" w:fill="e0e0e0"/>
            <w:vAlign w:val="top"/>
          </w:tcPr>
          <w:p>
            <w:pPr>
              <w:spacing w:before="0" w:after="0" w:line="259" w:lineRule="auto"/>
              <w:ind w:left="0" w:right="0" w:firstLine="0"/>
              <w:jc w:val="left"/>
            </w:pPr>
            <w:r>
              <w:rPr>
                <w:rFonts w:cs="Calibri" w:hAnsi="Calibri" w:eastAsia="Calibri" w:ascii="Calibri"/>
                <w:b w:val="1"/>
              </w:rPr>
              <w:t xml:space="preserve">I.  Position Information</w:t>
            </w:r>
            <w:r>
              <w:rPr/>
              <w:t xml:space="preserve"> </w:t>
            </w:r>
          </w:p>
          <w:p>
            <w:pPr>
              <w:spacing w:before="0" w:after="0" w:line="259" w:lineRule="auto"/>
              <w:ind w:left="0" w:right="0" w:firstLine="0"/>
              <w:jc w:val="left"/>
            </w:pPr>
            <w:r>
              <w:rPr/>
              <w:t xml:space="preserve"> </w:t>
            </w:r>
          </w:p>
        </w:tc>
      </w:tr>
      <w:tr>
        <w:trPr>
          <w:trHeight w:val="1892" w:hRule="atLeast"/>
        </w:trPr>
        <w:tc>
          <w:tcPr>
            <w:tcW w:w="4427" w:type="dxa"/>
            <w:tcBorders>
              <w:top w:val="single" w:sz="4" w:color="000000"/>
              <w:left w:val="single" w:sz="4" w:color="000000"/>
              <w:bottom w:val="single" w:sz="4" w:color="000000"/>
              <w:right w:val="single" w:sz="4" w:color="000000"/>
            </w:tcBorders>
            <w:vAlign w:val="top"/>
          </w:tcPr>
          <w:p>
            <w:pPr>
              <w:spacing w:before="0" w:after="0" w:line="252" w:lineRule="auto"/>
              <w:ind w:left="0" w:right="175" w:firstLine="0"/>
              <w:jc w:val="left"/>
            </w:pPr>
            <w:r>
              <w:rPr>
                <w:rFonts w:cs="Calibri" w:hAnsi="Calibri" w:eastAsia="Calibri" w:ascii="Calibri"/>
                <w:b w:val="1"/>
              </w:rPr>
              <w:t xml:space="preserve">Job Code Title:</w:t>
            </w:r>
            <w:r>
              <w:rPr>
                <w:rFonts w:cs="Calibri" w:hAnsi="Calibri" w:eastAsia="Calibri" w:ascii="Calibri"/>
                <w:b w:val="1"/>
              </w:rPr>
              <w:t xml:space="preserve">  	 	 	</w:t>
            </w:r>
            <w:r>
              <w:rPr/>
              <w:t xml:space="preserve"> </w:t>
            </w:r>
            <w:r>
              <w:rPr>
                <w:rFonts w:cs="Calibri" w:hAnsi="Calibri" w:eastAsia="Calibri" w:ascii="Calibri"/>
                <w:b w:val="1"/>
              </w:rPr>
              <w:t xml:space="preserve">Recommended Grade:</w:t>
            </w:r>
            <w:r>
              <w:rPr>
                <w:rFonts w:cs="Calibri" w:hAnsi="Calibri" w:eastAsia="Calibri" w:ascii="Calibri"/>
                <w:b w:val="1"/>
              </w:rPr>
              <w:t xml:space="preserve">  	 	</w:t>
            </w:r>
            <w:r>
              <w:rPr/>
              <w:t xml:space="preserve"> </w:t>
            </w:r>
            <w:r>
              <w:rPr>
                <w:rFonts w:cs="Calibri" w:hAnsi="Calibri" w:eastAsia="Calibri" w:ascii="Calibri"/>
                <w:b w:val="1"/>
              </w:rPr>
              <w:t xml:space="preserve">Supervisor:</w:t>
            </w:r>
            <w:r>
              <w:rPr>
                <w:rFonts w:cs="Calibri" w:hAnsi="Calibri" w:eastAsia="Calibri" w:ascii="Calibri"/>
                <w:b w:val="1"/>
              </w:rPr>
              <w:t xml:space="preserve"> 	 	 	 	</w:t>
            </w:r>
            <w:r>
              <w:rPr/>
              <w:t xml:space="preserve"> </w:t>
            </w:r>
            <w:r>
              <w:rPr>
                <w:rFonts w:cs="Calibri" w:hAnsi="Calibri" w:eastAsia="Calibri" w:ascii="Calibri"/>
                <w:b w:val="1"/>
              </w:rPr>
              <w:t xml:space="preserve">Duration:</w:t>
            </w:r>
            <w:r>
              <w:rPr>
                <w:rFonts w:cs="Calibri" w:hAnsi="Calibri" w:eastAsia="Calibri" w:ascii="Calibri"/>
                <w:b w:val="1"/>
              </w:rPr>
              <w:t xml:space="preserve"> 	 	 	 	</w:t>
            </w:r>
            <w:r>
              <w:rPr/>
              <w:t xml:space="preserve"> </w:t>
            </w:r>
            <w:r>
              <w:rPr>
                <w:rFonts w:cs="Calibri" w:hAnsi="Calibri" w:eastAsia="Calibri" w:ascii="Calibri"/>
                <w:b w:val="1"/>
              </w:rPr>
              <w:t xml:space="preserve">Starting Date:</w:t>
            </w:r>
            <w:r>
              <w:rPr>
                <w:rFonts w:cs="Calibri" w:hAnsi="Calibri" w:eastAsia="Calibri" w:ascii="Calibri"/>
                <w:b w:val="1"/>
              </w:rPr>
              <w:t xml:space="preserve">  	 	 	</w:t>
            </w:r>
            <w:r>
              <w:rPr/>
              <w:t xml:space="preserve"> </w:t>
            </w:r>
            <w:r>
              <w:rPr>
                <w:rFonts w:cs="Calibri" w:hAnsi="Calibri" w:eastAsia="Calibri" w:ascii="Calibri"/>
                <w:b w:val="1"/>
              </w:rPr>
              <w:t xml:space="preserve">Duty Station:</w:t>
            </w:r>
            <w:r>
              <w:rPr>
                <w:rFonts w:cs="Calibri" w:hAnsi="Calibri" w:eastAsia="Calibri" w:ascii="Calibri"/>
                <w:b w:val="1"/>
              </w:rPr>
              <w:t xml:space="preserve"> 	 	 	 	</w:t>
            </w:r>
            <w:r>
              <w:rPr/>
              <w:t xml:space="preserve"> </w:t>
            </w:r>
          </w:p>
          <w:p>
            <w:pPr>
              <w:spacing w:before="0" w:after="0" w:line="259" w:lineRule="auto"/>
              <w:ind w:left="0" w:right="0" w:firstLine="0"/>
              <w:jc w:val="left"/>
            </w:pPr>
            <w:r>
              <w:rPr>
                <w:rFonts w:cs="Calibri" w:hAnsi="Calibri" w:eastAsia="Calibri" w:ascii="Calibri"/>
                <w:b w:val="1"/>
              </w:rPr>
              <w:t xml:space="preserve"> </w:t>
            </w:r>
          </w:p>
        </w:tc>
        <w:tc>
          <w:tcPr>
            <w:tcW w:w="4428"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Calibri" w:hAnsi="Calibri" w:eastAsia="Calibri" w:ascii="Calibri"/>
                <w:b w:val="1"/>
              </w:rPr>
              <w:t xml:space="preserve">Chief Technical Advisor: Electoral Support </w:t>
            </w:r>
            <w:r>
              <w:rPr/>
              <w:t xml:space="preserve"> </w:t>
            </w:r>
          </w:p>
          <w:p>
            <w:pPr>
              <w:spacing w:before="0" w:after="0" w:line="259" w:lineRule="auto"/>
              <w:ind w:left="1" w:right="0" w:firstLine="0"/>
              <w:jc w:val="left"/>
            </w:pPr>
            <w:r>
              <w:rPr>
                <w:rFonts w:cs="Calibri" w:hAnsi="Calibri" w:eastAsia="Calibri" w:ascii="Calibri"/>
                <w:b w:val="1"/>
              </w:rPr>
              <w:t xml:space="preserve">P5</w:t>
            </w:r>
            <w:r>
              <w:rPr/>
              <w:t xml:space="preserve"> </w:t>
            </w:r>
          </w:p>
          <w:p>
            <w:pPr>
              <w:spacing w:before="0" w:after="0" w:line="259" w:lineRule="auto"/>
              <w:ind w:left="1" w:right="0" w:firstLine="0"/>
              <w:jc w:val="left"/>
            </w:pPr>
            <w:r>
              <w:rPr>
                <w:rFonts w:cs="Calibri" w:hAnsi="Calibri" w:eastAsia="Calibri" w:ascii="Calibri"/>
                <w:b w:val="1"/>
              </w:rPr>
              <w:t xml:space="preserve">RC/RR </w:t>
            </w:r>
            <w:r>
              <w:rPr>
                <w:rFonts w:cs="Calibri" w:hAnsi="Calibri" w:eastAsia="Calibri" w:ascii="Calibri"/>
                <w:b w:val="1"/>
              </w:rPr>
              <w:t xml:space="preserve">–</w:t>
            </w:r>
            <w:r>
              <w:rPr/>
              <w:t xml:space="preserve"> </w:t>
            </w:r>
          </w:p>
          <w:p>
            <w:pPr>
              <w:spacing w:before="0" w:after="0" w:line="259" w:lineRule="auto"/>
              <w:ind w:left="1" w:right="0" w:firstLine="0"/>
              <w:jc w:val="left"/>
            </w:pPr>
            <w:r>
              <w:rPr>
                <w:rFonts w:cs="Calibri" w:hAnsi="Calibri" w:eastAsia="Calibri" w:ascii="Calibri"/>
                <w:b w:val="1"/>
              </w:rPr>
              <w:t xml:space="preserve"> </w:t>
            </w:r>
            <w:r>
              <w:rPr>
                <w:rFonts w:cs="Calibri" w:hAnsi="Calibri" w:eastAsia="Calibri" w:ascii="Calibri"/>
                <w:b w:val="1"/>
              </w:rPr>
              <w:t xml:space="preserve">One year</w:t>
            </w:r>
            <w:r>
              <w:rPr>
                <w:rFonts w:cs="Calibri" w:hAnsi="Calibri" w:eastAsia="Calibri" w:ascii="Calibri"/>
                <w:b w:val="1"/>
              </w:rPr>
              <w:t xml:space="preserve"> </w:t>
            </w:r>
            <w:r>
              <w:rPr>
                <w:rFonts w:cs="Calibri" w:hAnsi="Calibri" w:eastAsia="Calibri" w:ascii="Calibri"/>
                <w:b w:val="1"/>
              </w:rPr>
              <w:t xml:space="preserve">with possible extension</w:t>
            </w:r>
            <w:r>
              <w:rPr/>
              <w:t xml:space="preserve"> </w:t>
            </w:r>
          </w:p>
          <w:p>
            <w:pPr>
              <w:spacing w:before="0" w:after="0" w:line="259" w:lineRule="auto"/>
              <w:ind w:left="1" w:right="0" w:firstLine="0"/>
              <w:jc w:val="left"/>
            </w:pPr>
            <w:r>
              <w:rPr>
                <w:rFonts w:cs="Calibri" w:hAnsi="Calibri" w:eastAsia="Calibri" w:ascii="Calibri"/>
                <w:b w:val="1"/>
              </w:rPr>
              <w:t xml:space="preserve"> </w:t>
            </w:r>
            <w:r>
              <w:rPr>
                <w:rFonts w:cs="Calibri" w:hAnsi="Calibri" w:eastAsia="Calibri" w:ascii="Calibri"/>
                <w:b w:val="1"/>
              </w:rPr>
              <w:t xml:space="preserve">As soon as possible </w:t>
            </w:r>
            <w:r>
              <w:rPr/>
              <w:t xml:space="preserve"> </w:t>
            </w:r>
          </w:p>
          <w:p>
            <w:pPr>
              <w:spacing w:before="0" w:after="0" w:line="259" w:lineRule="auto"/>
              <w:ind w:left="1" w:right="0" w:firstLine="0"/>
              <w:jc w:val="left"/>
            </w:pPr>
            <w:r>
              <w:rPr>
                <w:rFonts w:cs="Calibri" w:hAnsi="Calibri" w:eastAsia="Calibri" w:ascii="Calibri"/>
                <w:b w:val="1"/>
              </w:rPr>
              <w:t xml:space="preserve">Dar es Salaam, Tanzania</w:t>
            </w:r>
            <w:r>
              <w:rPr>
                <w:rFonts w:cs="Calibri" w:hAnsi="Calibri" w:eastAsia="Calibri" w:ascii="Calibri"/>
                <w:b w:val="1"/>
              </w:rPr>
              <w:t xml:space="preserve"> </w:t>
            </w:r>
          </w:p>
        </w:tc>
      </w:tr>
      <w:tr>
        <w:trPr>
          <w:trHeight w:val="950" w:hRule="atLeast"/>
        </w:trPr>
        <w:tc>
          <w:tcPr>
            <w:tcW w:w="8855" w:type="dxa"/>
            <w:gridSpan w:val="2"/>
            <w:tcBorders>
              <w:top w:val="single" w:sz="4" w:color="000000"/>
              <w:left w:val="single" w:sz="4" w:color="000000"/>
              <w:bottom w:val="single" w:sz="4" w:color="000000"/>
              <w:right w:val="single" w:sz="4" w:color="000000"/>
            </w:tcBorders>
            <w:shd w:val="clear" w:fill="e0e0e0"/>
            <w:vAlign w:val="bottom"/>
          </w:tcPr>
          <w:p>
            <w:pPr>
              <w:spacing w:before="0" w:after="31" w:line="259" w:lineRule="auto"/>
              <w:ind w:left="0" w:right="0" w:firstLine="0"/>
              <w:jc w:val="left"/>
            </w:pPr>
            <w:r>
              <w:rPr>
                <w:rFonts w:cs="Calibri" w:hAnsi="Calibri" w:eastAsia="Calibri" w:ascii="Calibri"/>
                <w:b w:val="1"/>
              </w:rPr>
              <w:t xml:space="preserve">II. Organizational Context </w:t>
            </w:r>
            <w:r>
              <w:rPr>
                <w:rFonts w:cs="Calibri" w:hAnsi="Calibri" w:eastAsia="Calibri" w:ascii="Calibri"/>
                <w:b w:val="1"/>
              </w:rPr>
              <w:t xml:space="preserve"> </w:t>
            </w:r>
          </w:p>
          <w:p>
            <w:pPr>
              <w:spacing w:before="0" w:after="0" w:line="259" w:lineRule="auto"/>
              <w:ind w:left="0" w:right="0" w:firstLine="0"/>
              <w:jc w:val="left"/>
            </w:pPr>
            <w:r>
              <w:rPr>
                <w:rFonts w:cs="Arial" w:hAnsi="Arial" w:eastAsia="Arial" w:ascii="Arial"/>
                <w:b w:val="1"/>
              </w:rPr>
              <w:t xml:space="preserve"> </w:t>
            </w:r>
          </w:p>
        </w:tc>
      </w:tr>
      <w:tr>
        <w:trPr>
          <w:trHeight w:val="8337" w:hRule="atLeast"/>
        </w:trPr>
        <w:tc>
          <w:tcPr>
            <w:tcW w:w="8855" w:type="dxa"/>
            <w:gridSpan w:val="2"/>
            <w:tcBorders>
              <w:top w:val="single" w:sz="4" w:color="000000"/>
              <w:left w:val="single" w:sz="4" w:color="000000"/>
              <w:bottom w:val="single" w:sz="4" w:color="000000"/>
              <w:right w:val="single" w:sz="4" w:color="000000"/>
            </w:tcBorders>
            <w:vAlign w:val="top"/>
          </w:tcPr>
          <w:p>
            <w:pPr>
              <w:spacing w:before="0" w:after="0" w:line="239" w:lineRule="auto"/>
              <w:ind w:left="0" w:right="47" w:firstLine="0"/>
            </w:pPr>
            <w:r>
              <w:rPr/>
              <w:t xml:space="preserve">Tanzania has had 4</w:t>
            </w:r>
            <w:r>
              <w:rPr/>
              <w:t xml:space="preserve"> </w:t>
            </w:r>
            <w:r>
              <w:rPr/>
              <w:t xml:space="preserve">credible general elections since the reintroduction of multi</w:t>
            </w:r>
            <w:r>
              <w:rPr/>
              <w:t xml:space="preserve">-</w:t>
            </w:r>
            <w:r>
              <w:rPr/>
              <w:t xml:space="preserve">party politics in 1992. Citizens and the government are</w:t>
            </w:r>
            <w:r>
              <w:rPr/>
              <w:t xml:space="preserve"> -- </w:t>
            </w:r>
            <w:r>
              <w:rPr/>
              <w:t xml:space="preserve">eager to maintain this track record and to further strengthen democratic practice in Tanzania. Looking to the 2015 general election, government has</w:t>
            </w:r>
            <w:r>
              <w:rPr/>
              <w:t xml:space="preserve"> </w:t>
            </w:r>
            <w:r>
              <w:rPr/>
              <w:t xml:space="preserve">undertaken early and comprehensive preparations for the electoral processes. Since receipt of official requests for UN assistance to the election cycle leading to the 2015 general election from the National Election Commission and Zanzibar Electoral Commission, a UN Needs Assessment Mission recommended the development of a project in support of the National efforts.</w:t>
            </w:r>
            <w:r>
              <w:rPr/>
              <w:t xml:space="preserve"> </w:t>
            </w:r>
          </w:p>
          <w:p>
            <w:pPr>
              <w:spacing w:before="0" w:after="0" w:line="259" w:lineRule="auto"/>
              <w:ind w:left="0" w:right="0" w:firstLine="0"/>
              <w:jc w:val="left"/>
            </w:pPr>
            <w:r>
              <w:rPr/>
              <w:t xml:space="preserve"> </w:t>
            </w:r>
          </w:p>
          <w:p>
            <w:pPr>
              <w:spacing w:before="0" w:after="0" w:line="239" w:lineRule="auto"/>
              <w:ind w:left="0" w:right="50" w:firstLine="0"/>
            </w:pPr>
            <w:r>
              <w:rPr/>
              <w:t xml:space="preserve">As well, in 2014 the United Republic of Tanzania will likely conduct the first national referendum on a new constitution. The National partners and other stakeholders in preparing for these critical events have requested the support of UNDP to provide technical and</w:t>
            </w:r>
            <w:r>
              <w:rPr/>
              <w:t xml:space="preserve"> </w:t>
            </w:r>
            <w:r>
              <w:rPr/>
              <w:t xml:space="preserve">financial support to the preparation and execution of the referendum and general</w:t>
            </w:r>
            <w:r>
              <w:rPr/>
              <w:t xml:space="preserve"> </w:t>
            </w:r>
            <w:r>
              <w:rPr/>
              <w:t xml:space="preserve">election.  </w:t>
            </w:r>
            <w:r>
              <w:rPr/>
              <w:t xml:space="preserve"> </w:t>
            </w:r>
          </w:p>
          <w:p>
            <w:pPr>
              <w:spacing w:before="0" w:after="0" w:line="259" w:lineRule="auto"/>
              <w:ind w:left="0" w:right="0" w:firstLine="0"/>
              <w:jc w:val="left"/>
            </w:pPr>
            <w:r>
              <w:rPr/>
              <w:t xml:space="preserve"> </w:t>
            </w:r>
          </w:p>
          <w:p>
            <w:pPr>
              <w:spacing w:before="0" w:after="1" w:line="239" w:lineRule="auto"/>
              <w:ind w:left="0" w:right="48" w:firstLine="0"/>
            </w:pPr>
            <w:r>
              <w:rPr/>
              <w:t xml:space="preserve">To these ends, the Democratic Empowerment Project is a four year (2013</w:t>
            </w:r>
            <w:r>
              <w:rPr/>
              <w:t xml:space="preserve">-</w:t>
            </w:r>
            <w:r>
              <w:rPr/>
              <w:t xml:space="preserve">2016) UNDP, UN One Fund and other donor</w:t>
            </w:r>
            <w:r>
              <w:rPr/>
              <w:t xml:space="preserve">-</w:t>
            </w:r>
            <w:r>
              <w:rPr/>
              <w:t xml:space="preserve">funded project with the overall aim of contributing to Tanzania’s UNDAP’s Outcome 7: i.e. “key institutions of democracy, (.e. EMBs, etc.) effectively implement their election and political functions”.   </w:t>
            </w:r>
            <w:r>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Project Objectives</w:t>
            </w:r>
            <w:r>
              <w:rPr/>
              <w:t xml:space="preserve"> </w:t>
            </w:r>
          </w:p>
          <w:p>
            <w:pPr>
              <w:spacing w:before="0" w:after="1" w:line="239" w:lineRule="auto"/>
              <w:ind w:left="0" w:right="0" w:firstLine="0"/>
            </w:pPr>
            <w:r>
              <w:rPr/>
              <w:t xml:space="preserve">The Project seeks to promote democracy and contribute to the realisation of the following four outputs: </w:t>
            </w:r>
            <w:r>
              <w:rPr/>
              <w:t xml:space="preserve"> </w:t>
            </w:r>
          </w:p>
          <w:p>
            <w:pPr>
              <w:numPr>
                <w:ilvl w:val="0"/>
                <w:numId w:val="39"/>
              </w:numPr>
              <w:spacing w:before="0" w:after="0" w:line="239" w:lineRule="auto"/>
              <w:ind w:left="0" w:right="50" w:firstLine="0"/>
            </w:pPr>
            <w:r>
              <w:rPr/>
              <w:t xml:space="preserve">Capacity of the key democratic institutions (EMBs, CRC, RPP, etc.) enhanced to support and promote legal and institutional reform in the context of the on</w:t>
            </w:r>
            <w:r>
              <w:rPr/>
              <w:t xml:space="preserve">-</w:t>
            </w:r>
            <w:r>
              <w:rPr/>
              <w:t xml:space="preserve">going constitutional reform process and beyond; </w:t>
            </w:r>
            <w:r>
              <w:rPr/>
              <w:t xml:space="preserve"> </w:t>
            </w:r>
          </w:p>
          <w:p>
            <w:pPr>
              <w:numPr>
                <w:ilvl w:val="0"/>
                <w:numId w:val="39"/>
              </w:numPr>
              <w:spacing w:before="0" w:after="21" w:line="244" w:lineRule="auto"/>
              <w:ind w:left="0" w:right="50" w:firstLine="0"/>
            </w:pPr>
            <w:r>
              <w:rPr/>
              <w:t xml:space="preserve">Capacity of the EMBs to conduct credible elections enhanced through strategic, technical and operational support and improved EMB engagement with stakeholders (i.e. political parties, CSOs, and the media)  to foster a democratic environment</w:t>
            </w:r>
            <w:r>
              <w:rPr>
                <w:vertAlign w:val="superscript"/>
              </w:rPr>
              <w:t xml:space="preserve">6</w:t>
            </w:r>
            <w:r>
              <w:rPr/>
              <w:t xml:space="preserve">;  </w:t>
            </w:r>
          </w:p>
          <w:p>
            <w:pPr>
              <w:numPr>
                <w:ilvl w:val="0"/>
                <w:numId w:val="39"/>
              </w:numPr>
              <w:spacing w:before="0" w:after="0" w:line="239" w:lineRule="auto"/>
              <w:ind w:left="0" w:right="50" w:firstLine="0"/>
            </w:pPr>
            <w:r>
              <w:rPr/>
              <w:t xml:space="preserve">inclusive participation in elections and politics enhanced through the empowerment of women, youth and PWDs; and </w:t>
            </w:r>
            <w:r>
              <w:rPr/>
              <w:t xml:space="preserve"> </w:t>
            </w:r>
          </w:p>
          <w:p>
            <w:pPr>
              <w:numPr>
                <w:ilvl w:val="0"/>
                <w:numId w:val="39"/>
              </w:numPr>
              <w:spacing w:before="0" w:after="0" w:line="259" w:lineRule="auto"/>
              <w:ind w:left="0" w:right="50" w:firstLine="0"/>
            </w:pPr>
            <w:r>
              <w:rPr/>
              <w:t xml:space="preserve">National</w:t>
            </w:r>
            <w:r>
              <w:rPr/>
              <w:t xml:space="preserve"> </w:t>
            </w:r>
            <w:r>
              <w:rPr/>
              <w:t xml:space="preserve">peace infrastructure enhanced to mitigate and prevent</w:t>
            </w:r>
            <w:r>
              <w:rPr/>
              <w:t xml:space="preserve"> </w:t>
            </w:r>
            <w:r>
              <w:rPr/>
              <w:t xml:space="preserve">election</w:t>
            </w:r>
            <w:r>
              <w:rPr/>
              <w:t xml:space="preserve">-</w:t>
            </w:r>
            <w:r>
              <w:rPr/>
              <w:t xml:space="preserve">related conflicts.</w:t>
            </w:r>
            <w:r>
              <w:rPr>
                <w:rFonts w:cs="Calibri" w:hAnsi="Calibri" w:eastAsia="Calibri" w:ascii="Calibri"/>
                <w:b w:val="1"/>
              </w:rPr>
              <w:t xml:space="preserve"> </w:t>
            </w:r>
          </w:p>
        </w:tc>
      </w:tr>
    </w:tbl>
    <w:p>
      <w:pPr>
        <w:spacing w:before="0" w:after="0" w:line="259" w:lineRule="auto"/>
        <w:ind w:left="1" w:right="0" w:firstLine="0"/>
        <w:jc w:val="left"/>
      </w:pPr>
      <w:r>
        <w:rPr>
          <w:rFonts w:cs="Calibri" w:hAnsi="Calibri" w:eastAsia="Calibri" w:ascii="Calibri"/>
          <w:b w:val="1"/>
        </w:rPr>
        <w:t xml:space="preserve"> </w:t>
      </w:r>
    </w:p>
    <w:p>
      <w:pPr>
        <w:pStyle w:val="heading4"/>
        <w:pBdr>
          <w:top w:val="single" w:color="000000" w:sz="4"/>
          <w:left w:val="single" w:color="000000" w:sz="4"/>
          <w:bottom w:val="single" w:color="000000" w:sz="4"/>
          <w:right w:val="single" w:color="000000" w:sz="4"/>
        </w:pBdr>
        <w:spacing w:before="0" w:after="0" w:line="259" w:lineRule="auto"/>
        <w:ind w:left="-4" w:right="375"/>
      </w:pPr>
      <w:r>
        <w:rPr/>
        <w:t xml:space="preserve">Project Management</w:t>
      </w:r>
      <w:r>
        <w:rPr>
          <w:rFonts w:cs="Calibri" w:hAnsi="Calibri" w:eastAsia="Calibri" w:ascii="Calibri"/>
          <w:b w:val="0"/>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The project will be executed directly by UNDP with implemented under the overall guiding principle of national ownership and leadership in the electoral process. The international </w:t>
      </w:r>
      <w:r>
        <w:rPr/>
        <w:t xml:space="preserve">assistance provided should be considered as an extension of, and a complement to, national resources and is intended to support national management and coordination structures, in the spirit of the Joint Assistance Strategy for Tanzania (JAST)</w:t>
      </w:r>
      <w:r>
        <w:rPr/>
        <w:t xml:space="preserve">.</w:t>
      </w:r>
      <w:r>
        <w:rPr/>
        <w:t xml:space="preserve"> </w:t>
      </w:r>
      <w:r>
        <w:rPr/>
        <w:t xml:space="preserve">.   </w:t>
      </w:r>
      <w:r>
        <w:rPr/>
        <w:t xml:space="preserve"> </w:t>
      </w:r>
    </w:p>
    <w:p>
      <w:pPr>
        <w:pBdr>
          <w:top w:val="single" w:color="000000" w:sz="4"/>
          <w:left w:val="single" w:color="000000" w:sz="4"/>
          <w:bottom w:val="single" w:color="000000" w:sz="4"/>
          <w:right w:val="single" w:color="000000" w:sz="4"/>
        </w:pBdr>
        <w:spacing w:before="0" w:after="0" w:line="259" w:lineRule="auto"/>
        <w:ind w:left="1" w:right="0" w:firstLine="0"/>
        <w:jc w:val="left"/>
      </w:pPr>
      <w:r>
        <w:rPr>
          <w:rFonts w:cs="Calibri" w:hAnsi="Calibri" w:eastAsia="Calibri" w:ascii="Calibri"/>
          <w:b w:val="1"/>
        </w:rPr>
        <w:t xml:space="preserve"> 	 </w:t>
      </w:r>
    </w:p>
    <w:p>
      <w:pPr>
        <w:spacing w:before="0" w:after="0" w:line="259" w:lineRule="auto"/>
        <w:ind w:left="1" w:right="0" w:firstLine="0"/>
        <w:jc w:val="left"/>
      </w:pPr>
      <w:r>
        <w:rPr>
          <w:rFonts w:cs="Calibri" w:hAnsi="Calibri" w:eastAsia="Calibri" w:ascii="Calibri"/>
          <w:b w:val="1"/>
        </w:rPr>
        <w:t xml:space="preserve"> </w:t>
      </w:r>
    </w:p>
    <w:tbl>
      <w:tblPr>
        <w:tblStyle w:val="TableGrid"/>
        <w:tblW w:w="8855" w:type="dxa"/>
        <w:tblInd w:w="-106" w:type="dxa"/>
        <w:tblCellMar>
          <w:top w:w="46" w:type="dxa"/>
          <w:left w:w="107" w:type="dxa"/>
          <w:bottom w:w="0" w:type="dxa"/>
          <w:right w:w="58" w:type="dxa"/>
        </w:tblCellMar>
      </w:tblPr>
      <w:tblGrid>
        <w:gridCol w:w="8855"/>
      </w:tblGrid>
      <w:tr>
        <w:trPr>
          <w:trHeight w:val="96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8" w:line="259" w:lineRule="auto"/>
              <w:ind w:left="0" w:right="0" w:firstLine="0"/>
              <w:jc w:val="left"/>
            </w:pPr>
            <w:r>
              <w:rPr>
                <w:rFonts w:cs="Calibri" w:hAnsi="Calibri" w:eastAsia="Calibri" w:ascii="Calibri"/>
                <w:b w:val="1"/>
              </w:rPr>
              <w:t xml:space="preserve">III. Functions / Key Results Expected</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i w:val="1"/>
              </w:rPr>
              <w:t xml:space="preserve"> </w:t>
            </w:r>
          </w:p>
        </w:tc>
      </w:tr>
      <w:tr>
        <w:trPr>
          <w:trHeight w:val="2966"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Summary of key functions:</w:t>
            </w:r>
            <w:r>
              <w:rPr>
                <w:rFonts w:cs="Calibri" w:hAnsi="Calibri" w:eastAsia="Calibri" w:ascii="Calibri"/>
                <w:b w:val="1"/>
              </w:rPr>
              <w:t xml:space="preserve"> </w:t>
            </w:r>
          </w:p>
          <w:p>
            <w:pPr>
              <w:spacing w:before="0" w:after="11" w:line="259" w:lineRule="auto"/>
              <w:ind w:left="0" w:right="0" w:firstLine="0"/>
              <w:jc w:val="left"/>
            </w:pPr>
            <w:r>
              <w:rPr>
                <w:rFonts w:cs="Calibri" w:hAnsi="Calibri" w:eastAsia="Calibri" w:ascii="Calibri"/>
                <w:b w:val="1"/>
              </w:rPr>
              <w:t xml:space="preserve"> </w:t>
            </w:r>
          </w:p>
          <w:p>
            <w:pPr>
              <w:numPr>
                <w:ilvl w:val="0"/>
                <w:numId w:val="40"/>
              </w:numPr>
              <w:spacing w:before="0" w:after="12" w:line="259" w:lineRule="auto"/>
              <w:ind w:left="720" w:right="0" w:hanging="288"/>
              <w:jc w:val="left"/>
            </w:pPr>
            <w:r>
              <w:rPr/>
              <w:t xml:space="preserve">Organization and management</w:t>
            </w:r>
            <w:r>
              <w:rPr/>
              <w:t xml:space="preserve"> </w:t>
            </w:r>
          </w:p>
          <w:p>
            <w:pPr>
              <w:numPr>
                <w:ilvl w:val="0"/>
                <w:numId w:val="40"/>
              </w:numPr>
              <w:spacing w:before="0" w:after="12" w:line="259" w:lineRule="auto"/>
              <w:ind w:left="720" w:right="0" w:hanging="288"/>
              <w:jc w:val="left"/>
            </w:pPr>
            <w:r>
              <w:rPr/>
              <w:t xml:space="preserve">Management for delivery of results</w:t>
            </w:r>
            <w:r>
              <w:rPr/>
              <w:t xml:space="preserve"> </w:t>
            </w:r>
          </w:p>
          <w:p>
            <w:pPr>
              <w:numPr>
                <w:ilvl w:val="0"/>
                <w:numId w:val="40"/>
              </w:numPr>
              <w:spacing w:before="0" w:after="9" w:line="259" w:lineRule="auto"/>
              <w:ind w:left="720" w:right="0" w:hanging="288"/>
              <w:jc w:val="left"/>
            </w:pPr>
            <w:r>
              <w:rPr/>
              <w:t xml:space="preserve">Capacity development for institutional reforms and development</w:t>
            </w:r>
            <w:r>
              <w:rPr/>
              <w:t xml:space="preserve"> </w:t>
            </w:r>
          </w:p>
          <w:p>
            <w:pPr>
              <w:numPr>
                <w:ilvl w:val="0"/>
                <w:numId w:val="40"/>
              </w:numPr>
              <w:spacing w:before="0" w:after="12" w:line="259" w:lineRule="auto"/>
              <w:ind w:left="720" w:right="0" w:hanging="288"/>
              <w:jc w:val="left"/>
            </w:pPr>
            <w:r>
              <w:rPr/>
              <w:t xml:space="preserve">Policy reforms and development services</w:t>
            </w:r>
            <w:r>
              <w:rPr/>
              <w:t xml:space="preserve"> </w:t>
            </w:r>
          </w:p>
          <w:p>
            <w:pPr>
              <w:numPr>
                <w:ilvl w:val="0"/>
                <w:numId w:val="40"/>
              </w:numPr>
              <w:spacing w:before="0" w:after="12" w:line="259" w:lineRule="auto"/>
              <w:ind w:left="720" w:right="0" w:hanging="288"/>
              <w:jc w:val="left"/>
            </w:pPr>
            <w:r>
              <w:rPr/>
              <w:t xml:space="preserve">Analytical national knowledge products</w:t>
            </w:r>
            <w:r>
              <w:rPr/>
              <w:t xml:space="preserve"> </w:t>
            </w:r>
          </w:p>
          <w:p>
            <w:pPr>
              <w:numPr>
                <w:ilvl w:val="0"/>
                <w:numId w:val="40"/>
              </w:numPr>
              <w:spacing w:before="0" w:after="12" w:line="259" w:lineRule="auto"/>
              <w:ind w:left="720" w:right="0" w:hanging="288"/>
              <w:jc w:val="left"/>
            </w:pPr>
            <w:r>
              <w:rPr/>
              <w:t xml:space="preserve">Advocacy, networking and marketing</w:t>
            </w:r>
            <w:r>
              <w:rPr/>
              <w:t xml:space="preserve"> </w:t>
            </w:r>
          </w:p>
          <w:p>
            <w:pPr>
              <w:numPr>
                <w:ilvl w:val="0"/>
                <w:numId w:val="40"/>
              </w:numPr>
              <w:spacing w:before="0" w:after="0" w:line="259" w:lineRule="auto"/>
              <w:ind w:left="720" w:right="0" w:hanging="288"/>
              <w:jc w:val="left"/>
            </w:pPr>
            <w:r>
              <w:rPr/>
              <w:t xml:space="preserve">Partnerships and resource mobilization</w:t>
            </w:r>
            <w:r>
              <w:rPr/>
              <w:t xml:space="preserve"> </w:t>
            </w:r>
          </w:p>
          <w:p>
            <w:pPr>
              <w:numPr>
                <w:ilvl w:val="0"/>
                <w:numId w:val="40"/>
              </w:numPr>
              <w:spacing w:before="0" w:after="0" w:line="259" w:lineRule="auto"/>
              <w:ind w:left="720" w:right="0" w:hanging="288"/>
              <w:jc w:val="left"/>
            </w:pPr>
            <w:r>
              <w:rPr/>
              <w:t xml:space="preserve">Coordination and recommendations</w:t>
            </w:r>
            <w:r>
              <w:rPr/>
              <w:t xml:space="preserve"> </w:t>
            </w:r>
          </w:p>
          <w:p>
            <w:pPr>
              <w:spacing w:before="0" w:after="0" w:line="259" w:lineRule="auto"/>
              <w:ind w:left="720" w:right="0" w:firstLine="0"/>
              <w:jc w:val="left"/>
            </w:pPr>
            <w:r>
              <w:rPr>
                <w:rFonts w:cs="Calibri" w:hAnsi="Calibri" w:eastAsia="Calibri" w:ascii="Calibri"/>
                <w:b w:val="1"/>
              </w:rPr>
              <w:t xml:space="preserve"> </w:t>
            </w:r>
          </w:p>
        </w:tc>
      </w:tr>
      <w:tr>
        <w:trPr>
          <w:trHeight w:val="3027" w:hRule="atLeast"/>
        </w:trPr>
        <w:tc>
          <w:tcPr>
            <w:tcW w:w="8855" w:type="dxa"/>
            <w:tcBorders>
              <w:top w:val="single" w:sz="4" w:color="000000"/>
              <w:left w:val="single" w:sz="4" w:color="000000"/>
              <w:bottom w:val="single" w:sz="4" w:color="000000"/>
              <w:right w:val="single" w:sz="4" w:color="000000"/>
            </w:tcBorders>
            <w:vAlign w:val="top"/>
          </w:tcPr>
          <w:p>
            <w:pPr>
              <w:spacing w:before="0" w:after="38" w:line="259" w:lineRule="auto"/>
              <w:ind w:left="0" w:right="0" w:firstLine="0"/>
              <w:jc w:val="left"/>
            </w:pPr>
            <w:r>
              <w:rPr>
                <w:rFonts w:cs="Calibri" w:hAnsi="Calibri" w:eastAsia="Calibri" w:ascii="Calibri"/>
                <w:b w:val="1"/>
              </w:rPr>
              <w:t xml:space="preserve">General Duties and Responsibilities</w:t>
            </w:r>
            <w:r>
              <w:rPr>
                <w:rFonts w:cs="Calibri" w:hAnsi="Calibri" w:eastAsia="Calibri" w:ascii="Calibri"/>
                <w:b w:val="1"/>
              </w:rPr>
              <w:t xml:space="preserve"> </w:t>
            </w:r>
          </w:p>
          <w:p>
            <w:pPr>
              <w:spacing w:before="0" w:after="120" w:line="239" w:lineRule="auto"/>
              <w:ind w:left="0" w:right="0" w:firstLine="0"/>
              <w:jc w:val="left"/>
            </w:pPr>
            <w:r>
              <w:rPr/>
              <w:t xml:space="preserve">Under the guidance and direction of the RC/RR,</w:t>
            </w:r>
            <w:r>
              <w:rPr/>
              <w:t xml:space="preserve"> </w:t>
            </w:r>
            <w:r>
              <w:rPr/>
              <w:t xml:space="preserve">the CTA will lead high level consultations and communication with stakeholders. </w:t>
            </w:r>
            <w:r>
              <w:rPr/>
              <w:t xml:space="preserve"> </w:t>
            </w:r>
          </w:p>
          <w:p>
            <w:pPr>
              <w:spacing w:before="0" w:after="241" w:line="239" w:lineRule="auto"/>
              <w:ind w:left="0" w:right="0" w:firstLine="0"/>
              <w:jc w:val="left"/>
            </w:pPr>
            <w:r>
              <w:rPr/>
              <w:t xml:space="preserve">. The CTA will be expected to engage constructively and effectively with all stakeholders, including national counterparts, government officials, the diplomatic community and development partners. The CTA is also responsible for reporting to and preparing/organizing all aspects of Steering Committee meetings</w:t>
            </w:r>
            <w:r>
              <w:rPr/>
              <w:t xml:space="preserve">.</w:t>
            </w:r>
            <w:r>
              <w:rPr/>
              <w:t xml:space="preserve"> </w:t>
            </w:r>
          </w:p>
          <w:p>
            <w:pPr>
              <w:spacing w:before="0" w:after="0" w:line="259" w:lineRule="auto"/>
              <w:ind w:left="0" w:right="0" w:firstLine="0"/>
              <w:jc w:val="left"/>
            </w:pPr>
            <w:r>
              <w:rPr>
                <w:rFonts w:cs="Calibri" w:hAnsi="Calibri" w:eastAsia="Calibri" w:ascii="Calibri"/>
                <w:i w:val="1"/>
              </w:rPr>
              <w:t xml:space="preserve">The CTA has overall responsibly and accountability for substantive advice and technical support to the EMBs and other stakeholders in the achievement of election cycle goals.</w:t>
            </w:r>
            <w:r>
              <w:rPr>
                <w:rFonts w:cs="Calibri" w:hAnsi="Calibri" w:eastAsia="Calibri" w:ascii="Calibri"/>
                <w:i w:val="1"/>
              </w:rPr>
              <w:t xml:space="preserve">  </w:t>
            </w:r>
          </w:p>
        </w:tc>
      </w:tr>
      <w:tr>
        <w:trPr>
          <w:trHeight w:val="3668" w:hRule="atLeast"/>
        </w:trPr>
        <w:tc>
          <w:tcPr>
            <w:tcW w:w="8855" w:type="dxa"/>
            <w:tcBorders>
              <w:top w:val="single" w:sz="4" w:color="000000"/>
              <w:left w:val="single" w:sz="4" w:color="000000"/>
              <w:bottom w:val="single" w:sz="4" w:color="000000"/>
              <w:right w:val="single" w:sz="4" w:color="000000"/>
            </w:tcBorders>
            <w:vAlign w:val="top"/>
          </w:tcPr>
          <w:p>
            <w:pPr>
              <w:spacing w:before="0" w:after="144" w:line="259" w:lineRule="auto"/>
              <w:ind w:left="0" w:right="0" w:firstLine="0"/>
              <w:jc w:val="left"/>
            </w:pPr>
            <w:r>
              <w:rPr>
                <w:rFonts w:cs="Calibri" w:hAnsi="Calibri" w:eastAsia="Calibri" w:ascii="Calibri"/>
                <w:b w:val="1"/>
              </w:rPr>
              <w:t xml:space="preserve">Substantive support to the electoral process:</w:t>
            </w:r>
            <w:r>
              <w:rPr/>
              <w:t xml:space="preserve"> </w:t>
            </w:r>
          </w:p>
          <w:p>
            <w:pPr>
              <w:numPr>
                <w:ilvl w:val="0"/>
                <w:numId w:val="41"/>
              </w:numPr>
              <w:spacing w:before="0" w:after="46" w:line="239" w:lineRule="auto"/>
              <w:ind w:left="720" w:right="51" w:hanging="360"/>
            </w:pPr>
            <w:r>
              <w:rPr/>
              <w:t xml:space="preserve">Leadership for all technical assistance to NEC and ZEC and identification of issues that may impact on the election process and require attention of the EMBs, the UNDP and/or the Steering Committee.  </w:t>
            </w:r>
            <w:r>
              <w:rPr/>
              <w:t xml:space="preserve"> </w:t>
            </w:r>
          </w:p>
          <w:p>
            <w:pPr>
              <w:numPr>
                <w:ilvl w:val="0"/>
                <w:numId w:val="41"/>
              </w:numPr>
              <w:spacing w:before="0" w:after="47" w:line="239" w:lineRule="auto"/>
              <w:ind w:left="720" w:right="51" w:hanging="360"/>
            </w:pPr>
            <w:r>
              <w:rPr/>
              <w:t xml:space="preserve">High level advisory assistance to NEC and ZEC, and other stakeholders, on strategic directions and goals, the election cycle environment, opportunities and risks in democratic development, and other related.</w:t>
            </w:r>
            <w:r>
              <w:rPr/>
              <w:t xml:space="preserve"> </w:t>
            </w:r>
          </w:p>
          <w:p>
            <w:pPr>
              <w:numPr>
                <w:ilvl w:val="0"/>
                <w:numId w:val="41"/>
              </w:numPr>
              <w:spacing w:before="0" w:after="46" w:line="239" w:lineRule="auto"/>
              <w:ind w:left="720" w:right="51" w:hanging="360"/>
            </w:pPr>
            <w:r>
              <w:rPr/>
              <w:t xml:space="preserve">Monitor the implementation of substantive activities through ongoing evaluation of project outputs; regular meetings with NEC and ZEC, interaction with implementing agents, field visits and assessments.</w:t>
            </w:r>
            <w:r>
              <w:rPr/>
              <w:t xml:space="preserve"> </w:t>
            </w:r>
          </w:p>
          <w:p>
            <w:pPr>
              <w:numPr>
                <w:ilvl w:val="0"/>
                <w:numId w:val="41"/>
              </w:numPr>
              <w:spacing w:before="0" w:after="0" w:line="240" w:lineRule="auto"/>
              <w:ind w:left="720" w:right="51" w:hanging="360"/>
            </w:pPr>
            <w:r>
              <w:rPr/>
              <w:t xml:space="preserve">Perform any other duties the supervisor may assign with respect to the conduct of the elections.</w:t>
            </w:r>
            <w:r>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1928" w:hRule="atLeast"/>
        </w:trPr>
        <w:tc>
          <w:tcPr>
            <w:tcW w:w="8855" w:type="dxa"/>
            <w:tcBorders>
              <w:top w:val="single" w:sz="4" w:color="000000"/>
              <w:left w:val="single" w:sz="4" w:color="000000"/>
              <w:bottom w:val="single" w:sz="4" w:color="000000"/>
              <w:right w:val="single" w:sz="4" w:color="000000"/>
            </w:tcBorders>
            <w:vAlign w:val="top"/>
          </w:tcPr>
          <w:p>
            <w:pPr>
              <w:spacing w:before="0" w:after="21" w:line="259" w:lineRule="auto"/>
              <w:ind w:left="0" w:right="0" w:firstLine="0"/>
              <w:jc w:val="left"/>
            </w:pPr>
            <w:r>
              <w:rPr>
                <w:rFonts w:cs="Calibri" w:hAnsi="Calibri" w:eastAsia="Calibri" w:ascii="Calibri"/>
                <w:b w:val="1"/>
              </w:rPr>
              <w:t xml:space="preserve">Organization, Management and Reporting:</w:t>
            </w:r>
            <w:r>
              <w:rPr/>
              <w:t xml:space="preserve"> </w:t>
            </w:r>
          </w:p>
          <w:p>
            <w:pPr>
              <w:numPr>
                <w:ilvl w:val="0"/>
                <w:numId w:val="42"/>
              </w:numPr>
              <w:spacing w:before="0" w:after="46" w:line="240" w:lineRule="auto"/>
              <w:ind w:left="720" w:right="0" w:hanging="360"/>
            </w:pPr>
            <w:r>
              <w:rPr/>
              <w:t xml:space="preserve">Lead the project team in preparing component or output</w:t>
            </w:r>
            <w:r>
              <w:rPr/>
              <w:t xml:space="preserve">-</w:t>
            </w:r>
            <w:r>
              <w:rPr/>
              <w:t xml:space="preserve">based concept or strategy papers and review professional performance of team to optimize delivery of results. </w:t>
            </w:r>
            <w:r>
              <w:rPr/>
              <w:t xml:space="preserve"> </w:t>
            </w:r>
          </w:p>
          <w:p>
            <w:pPr>
              <w:numPr>
                <w:ilvl w:val="0"/>
                <w:numId w:val="42"/>
              </w:numPr>
              <w:spacing w:before="0" w:after="45" w:line="240" w:lineRule="auto"/>
              <w:ind w:left="720" w:right="0" w:hanging="360"/>
            </w:pPr>
            <w:r>
              <w:rPr/>
              <w:t xml:space="preserve">Ensure the preparation and quality assurance of monthly, quarterly, and annual progress and financial reports.</w:t>
            </w:r>
            <w:r>
              <w:rPr/>
              <w:t xml:space="preserve"> </w:t>
            </w:r>
          </w:p>
          <w:p>
            <w:pPr>
              <w:numPr>
                <w:ilvl w:val="0"/>
                <w:numId w:val="42"/>
              </w:numPr>
              <w:spacing w:before="0" w:after="0" w:line="259" w:lineRule="auto"/>
              <w:ind w:left="720" w:right="0" w:hanging="360"/>
            </w:pPr>
            <w:r>
              <w:rPr/>
              <w:t xml:space="preserve">Organize meetings of the Steering Committee and Technical Committees and provide required services and secretarial support.   </w:t>
            </w:r>
            <w:r>
              <w:rPr/>
              <w:t xml:space="preserve"> </w:t>
            </w:r>
          </w:p>
        </w:tc>
      </w:tr>
    </w:tbl>
    <w:tbl>
      <w:tblPr>
        <w:tblStyle w:val="TableGrid"/>
        <w:tblW w:w="8855" w:type="dxa"/>
        <w:tblInd w:w="-107" w:type="dxa"/>
        <w:tblCellMar>
          <w:top w:w="46" w:type="dxa"/>
          <w:left w:w="107" w:type="dxa"/>
          <w:bottom w:w="0" w:type="dxa"/>
          <w:right w:w="58" w:type="dxa"/>
        </w:tblCellMar>
      </w:tblPr>
      <w:tblGrid>
        <w:gridCol w:w="8855"/>
      </w:tblGrid>
      <w:tr>
        <w:trPr>
          <w:trHeight w:val="2194" w:hRule="atLeast"/>
        </w:trPr>
        <w:tc>
          <w:tcPr>
            <w:tcW w:w="8855" w:type="dxa"/>
            <w:tcBorders>
              <w:top w:val="single" w:sz="4" w:color="000000"/>
              <w:left w:val="single" w:sz="4" w:color="000000"/>
              <w:bottom w:val="single" w:sz="4" w:color="000000"/>
              <w:right w:val="single" w:sz="4" w:color="000000"/>
            </w:tcBorders>
            <w:vAlign w:val="top"/>
          </w:tcPr>
          <w:p>
            <w:pPr>
              <w:numPr>
                <w:ilvl w:val="0"/>
                <w:numId w:val="43"/>
              </w:numPr>
              <w:spacing w:before="0" w:after="46" w:line="239" w:lineRule="auto"/>
              <w:ind w:left="720" w:right="50" w:hanging="360"/>
            </w:pPr>
            <w:r>
              <w:rPr/>
              <w:t xml:space="preserve">In consultation with the UNDP Senior Management, provide regular reports and briefings as agreed with donor partners, the diplomatic community, delegations and other stakeholders.</w:t>
            </w:r>
            <w:r>
              <w:rPr/>
              <w:t xml:space="preserve"> </w:t>
            </w:r>
          </w:p>
          <w:p>
            <w:pPr>
              <w:numPr>
                <w:ilvl w:val="0"/>
                <w:numId w:val="43"/>
              </w:numPr>
              <w:spacing w:before="0" w:after="47" w:line="238" w:lineRule="auto"/>
              <w:ind w:left="720" w:right="50" w:hanging="360"/>
            </w:pPr>
            <w:r>
              <w:rPr/>
              <w:t xml:space="preserve">Coordinate effectively with the partners supporting the implementation of the project and ensure adequate monitoring and reporting Raise issues to the Technical Committee and Steering Committee as needed in consultation with Senior Management.</w:t>
            </w:r>
            <w:r>
              <w:rPr/>
              <w:t xml:space="preserve"> </w:t>
            </w:r>
          </w:p>
          <w:p>
            <w:pPr>
              <w:numPr>
                <w:ilvl w:val="0"/>
                <w:numId w:val="43"/>
              </w:numPr>
              <w:spacing w:before="0" w:after="0" w:line="259" w:lineRule="auto"/>
              <w:ind w:left="720" w:right="50" w:hanging="360"/>
            </w:pPr>
            <w:r>
              <w:rPr/>
              <w:t xml:space="preserve">Ensure that appropriate</w:t>
            </w:r>
            <w:r>
              <w:rPr/>
              <w:t xml:space="preserve"> </w:t>
            </w:r>
            <w:r>
              <w:rPr/>
              <w:t xml:space="preserve">monitoring and evaluation mechanisms are in place and used effectively.     </w:t>
            </w:r>
            <w:r>
              <w:rPr/>
              <w:t xml:space="preserve"> </w:t>
            </w:r>
          </w:p>
        </w:tc>
      </w:tr>
      <w:tr>
        <w:trPr>
          <w:trHeight w:val="5487" w:hRule="atLeast"/>
        </w:trPr>
        <w:tc>
          <w:tcPr>
            <w:tcW w:w="8855" w:type="dxa"/>
            <w:tcBorders>
              <w:top w:val="single" w:sz="4" w:color="000000"/>
              <w:left w:val="single" w:sz="4" w:color="000000"/>
              <w:bottom w:val="single" w:sz="4" w:color="000000"/>
              <w:right w:val="single" w:sz="4" w:color="000000"/>
            </w:tcBorders>
            <w:vAlign w:val="top"/>
          </w:tcPr>
          <w:p>
            <w:pPr>
              <w:spacing w:before="0" w:after="24" w:line="259" w:lineRule="auto"/>
              <w:ind w:left="0" w:right="0" w:firstLine="0"/>
              <w:jc w:val="left"/>
            </w:pPr>
            <w:r>
              <w:rPr>
                <w:rFonts w:cs="Calibri" w:hAnsi="Calibri" w:eastAsia="Calibri" w:ascii="Calibri"/>
                <w:b w:val="1"/>
              </w:rPr>
              <w:t xml:space="preserve">Capacity Development and Knowledge Building</w:t>
            </w:r>
            <w:r>
              <w:rPr/>
              <w:t xml:space="preserve"> </w:t>
            </w:r>
          </w:p>
          <w:p>
            <w:pPr>
              <w:numPr>
                <w:ilvl w:val="0"/>
                <w:numId w:val="44"/>
              </w:numPr>
              <w:spacing w:before="0" w:after="0" w:line="259" w:lineRule="auto"/>
              <w:ind w:left="720" w:right="0" w:hanging="360"/>
            </w:pPr>
            <w:r>
              <w:rPr/>
              <w:t xml:space="preserve">Provide advice, support and recommend assistance to senior EMB management. </w:t>
            </w:r>
            <w:r>
              <w:rPr/>
              <w:t xml:space="preserve"> </w:t>
            </w:r>
          </w:p>
          <w:p>
            <w:pPr>
              <w:numPr>
                <w:ilvl w:val="0"/>
                <w:numId w:val="44"/>
              </w:numPr>
              <w:spacing w:before="0" w:after="46" w:line="240" w:lineRule="auto"/>
              <w:ind w:left="720" w:right="0" w:hanging="360"/>
            </w:pPr>
            <w:r>
              <w:rPr/>
              <w:t xml:space="preserve">In cooperation with UNDP, coordinate and supervise activities related to the provision of international assistance to the electoral process.</w:t>
            </w:r>
            <w:r>
              <w:rPr/>
              <w:t xml:space="preserve"> </w:t>
            </w:r>
          </w:p>
          <w:p>
            <w:pPr>
              <w:numPr>
                <w:ilvl w:val="0"/>
                <w:numId w:val="44"/>
              </w:numPr>
              <w:spacing w:before="0" w:after="48" w:line="237" w:lineRule="auto"/>
              <w:ind w:left="720" w:right="0" w:hanging="360"/>
            </w:pPr>
            <w:r>
              <w:rPr/>
              <w:t xml:space="preserve">Prepare capacity development plan, taking into consideration the need of the EMBs, non</w:t>
            </w:r>
            <w:r>
              <w:rPr/>
              <w:t xml:space="preserve">-</w:t>
            </w:r>
            <w:r>
              <w:rPr/>
              <w:t xml:space="preserve">governmental organizations and other partners.</w:t>
            </w:r>
            <w:r>
              <w:rPr/>
              <w:t xml:space="preserve"> </w:t>
            </w:r>
          </w:p>
          <w:p>
            <w:pPr>
              <w:numPr>
                <w:ilvl w:val="0"/>
                <w:numId w:val="44"/>
              </w:numPr>
              <w:spacing w:before="0" w:after="46" w:line="240" w:lineRule="auto"/>
              <w:ind w:left="720" w:right="0" w:hanging="360"/>
            </w:pPr>
            <w:r>
              <w:rPr/>
              <w:t xml:space="preserve">Recommend and develop strategies to enhance and maintain EMB communication with stakeholders including political parties, the media, civil society and donor partners. </w:t>
            </w:r>
            <w:r>
              <w:rPr/>
              <w:t xml:space="preserve"> </w:t>
            </w:r>
          </w:p>
          <w:p>
            <w:pPr>
              <w:numPr>
                <w:ilvl w:val="0"/>
                <w:numId w:val="44"/>
              </w:numPr>
              <w:spacing w:before="0" w:after="0" w:line="259" w:lineRule="auto"/>
              <w:ind w:left="720" w:right="0" w:hanging="360"/>
            </w:pPr>
            <w:r>
              <w:rPr/>
              <w:t xml:space="preserve">Promote and supervise capacity development in consultation with the EMBs and UNDP, </w:t>
            </w:r>
            <w:r>
              <w:rPr/>
              <w:t xml:space="preserve"> </w:t>
            </w:r>
          </w:p>
          <w:p>
            <w:pPr>
              <w:numPr>
                <w:ilvl w:val="0"/>
                <w:numId w:val="44"/>
              </w:numPr>
              <w:spacing w:before="0" w:after="48" w:line="237" w:lineRule="auto"/>
              <w:ind w:left="720" w:right="0" w:hanging="360"/>
            </w:pPr>
            <w:r>
              <w:rPr/>
              <w:t xml:space="preserve">Monitor and document the experiences and achievements of capacity development initiatives.</w:t>
            </w:r>
            <w:r>
              <w:rPr/>
              <w:t xml:space="preserve"> </w:t>
            </w:r>
          </w:p>
          <w:p>
            <w:pPr>
              <w:numPr>
                <w:ilvl w:val="0"/>
                <w:numId w:val="44"/>
              </w:numPr>
              <w:spacing w:before="0" w:after="46" w:line="239" w:lineRule="auto"/>
              <w:ind w:left="720" w:right="0" w:hanging="360"/>
            </w:pPr>
            <w:r>
              <w:rPr/>
              <w:t xml:space="preserve">Recommend and ensure the application of national and international best</w:t>
            </w:r>
            <w:r>
              <w:rPr/>
              <w:t xml:space="preserve">-</w:t>
            </w:r>
            <w:r>
              <w:rPr/>
              <w:t xml:space="preserve">practice in the subject areas and generate knowledge</w:t>
            </w:r>
            <w:r>
              <w:rPr/>
              <w:t xml:space="preserve">-</w:t>
            </w:r>
            <w:r>
              <w:rPr/>
              <w:t xml:space="preserve">based products, drawing on global, regional and thematic policy and advisory support resources within the UN, UNDP, EC, etc. </w:t>
            </w:r>
            <w:r>
              <w:rPr/>
              <w:t xml:space="preserve"> </w:t>
            </w:r>
          </w:p>
          <w:p>
            <w:pPr>
              <w:numPr>
                <w:ilvl w:val="0"/>
                <w:numId w:val="44"/>
              </w:numPr>
              <w:spacing w:before="0" w:after="43" w:line="240" w:lineRule="auto"/>
              <w:ind w:left="720" w:right="0" w:hanging="360"/>
            </w:pPr>
            <w:r>
              <w:rPr/>
              <w:t xml:space="preserve">Lead the analytical development work of the team and ensure high quality knowledge products. Ensure the substantive quality of all knowledge products, reports and services, and ensure effective integration and compatibility with other practice areas.</w:t>
            </w:r>
            <w:r>
              <w:rPr/>
              <w:t xml:space="preserve"> </w:t>
            </w:r>
          </w:p>
          <w:p>
            <w:pPr>
              <w:numPr>
                <w:ilvl w:val="0"/>
                <w:numId w:val="44"/>
              </w:numPr>
              <w:spacing w:before="0" w:after="0" w:line="240" w:lineRule="auto"/>
              <w:ind w:left="720" w:right="0" w:hanging="360"/>
            </w:pPr>
            <w:r>
              <w:rPr/>
              <w:t xml:space="preserve">Disseminate information on international best practices and be an active member of the UNDP global and regional networks.</w:t>
            </w:r>
            <w:r>
              <w:rPr/>
              <w:t xml:space="preserve"> </w:t>
            </w:r>
          </w:p>
          <w:p>
            <w:pPr>
              <w:spacing w:before="0" w:after="0" w:line="259" w:lineRule="auto"/>
              <w:ind w:left="0" w:right="0" w:firstLine="0"/>
              <w:jc w:val="left"/>
            </w:pPr>
            <w:r>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8" w:type="dxa"/>
          <w:right w:w="58" w:type="dxa"/>
        </w:tblCellMar>
      </w:tblPr>
      <w:tblGrid>
        <w:gridCol w:w="8855"/>
      </w:tblGrid>
      <w:tr>
        <w:trPr>
          <w:trHeight w:val="696"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0" w:line="259" w:lineRule="auto"/>
              <w:ind w:left="0" w:right="0" w:firstLine="0"/>
              <w:jc w:val="left"/>
            </w:pPr>
            <w:r>
              <w:rPr>
                <w:rFonts w:cs="Calibri" w:hAnsi="Calibri" w:eastAsia="Calibri" w:ascii="Calibri"/>
                <w:b w:val="1"/>
              </w:rPr>
              <w:t xml:space="preserve">IV. Impact of Results </w:t>
            </w:r>
            <w:r>
              <w:rPr>
                <w:rFonts w:cs="Calibri" w:hAnsi="Calibri" w:eastAsia="Calibri" w:ascii="Calibri"/>
                <w:b w:val="1"/>
              </w:rPr>
              <w:t xml:space="preserve"> </w:t>
            </w:r>
          </w:p>
        </w:tc>
      </w:tr>
      <w:tr>
        <w:trPr>
          <w:trHeight w:val="1624"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1" w:line="239" w:lineRule="auto"/>
              <w:ind w:left="0" w:right="48" w:firstLine="0"/>
            </w:pPr>
            <w:r>
              <w:rPr/>
              <w:t xml:space="preserve">The key results of the post will contribute to the UN’s efforts to consolidating democratic structures and systems of good governance in Tanzania by strengthening political, civil society and electoral systems that enhance effective participation, representation and greater political tolerance.</w:t>
            </w:r>
            <w:r>
              <w:rPr/>
              <w:t xml:space="preserve"> </w:t>
            </w:r>
          </w:p>
          <w:p>
            <w:pPr>
              <w:spacing w:before="0" w:after="0" w:line="259" w:lineRule="auto"/>
              <w:ind w:left="0" w:right="0" w:firstLine="0"/>
              <w:jc w:val="left"/>
            </w:pP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7" w:type="dxa"/>
          <w:right w:w="59" w:type="dxa"/>
        </w:tblCellMar>
      </w:tblPr>
      <w:tblGrid>
        <w:gridCol w:w="8855"/>
      </w:tblGrid>
      <w:tr>
        <w:trPr>
          <w:trHeight w:val="96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8" w:line="259" w:lineRule="auto"/>
              <w:ind w:left="0" w:right="0" w:firstLine="0"/>
              <w:jc w:val="left"/>
            </w:pPr>
            <w:r>
              <w:rPr>
                <w:rFonts w:cs="Calibri" w:hAnsi="Calibri" w:eastAsia="Calibri" w:ascii="Calibri"/>
                <w:b w:val="1"/>
              </w:rPr>
              <w:t xml:space="preserve">V. Competencies </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8964" w:hRule="atLeast"/>
        </w:trPr>
        <w:tc>
          <w:tcPr>
            <w:tcW w:w="8855" w:type="dxa"/>
            <w:tcBorders>
              <w:top w:val="single" w:sz="4" w:color="000000"/>
              <w:left w:val="single" w:sz="4" w:color="000000"/>
              <w:bottom w:val="single" w:sz="4" w:color="000000"/>
              <w:right w:val="single" w:sz="4" w:color="000000"/>
            </w:tcBorders>
            <w:vAlign w:val="top"/>
          </w:tcPr>
          <w:p>
            <w:pPr>
              <w:spacing w:before="0" w:after="24" w:line="259" w:lineRule="auto"/>
              <w:ind w:left="0" w:right="0" w:firstLine="0"/>
              <w:jc w:val="left"/>
            </w:pPr>
            <w:r>
              <w:rPr>
                <w:rFonts w:cs="Calibri" w:hAnsi="Calibri" w:eastAsia="Calibri" w:ascii="Calibri"/>
                <w:b w:val="1"/>
              </w:rPr>
              <w:t xml:space="preserve">Corporate Competencies:</w:t>
            </w:r>
            <w:r>
              <w:rPr/>
              <w:t xml:space="preserve"> </w:t>
            </w:r>
          </w:p>
          <w:p>
            <w:pPr>
              <w:numPr>
                <w:ilvl w:val="0"/>
                <w:numId w:val="45"/>
              </w:numPr>
              <w:spacing w:before="0" w:after="0" w:line="258" w:lineRule="auto"/>
              <w:ind w:left="720" w:right="0" w:hanging="360"/>
              <w:jc w:val="left"/>
            </w:pPr>
            <w:r>
              <w:rPr/>
              <w:t xml:space="preserve">Demonstrates integrity by modeling the UN’s values and ethical standards; </w:t>
            </w:r>
            <w:r>
              <w:rPr/>
              <w:t xml:space="preserve"> </w:t>
            </w:r>
            <w:r>
              <w:rPr>
                <w:rFonts w:cs="Segoe UI Symbol" w:hAnsi="Segoe UI Symbol" w:eastAsia="Segoe UI Symbol" w:ascii="Segoe UI Symbol"/>
              </w:rPr>
              <w:t xml:space="preserve"></w:t>
            </w:r>
            <w:r>
              <w:rPr>
                <w:rFonts w:cs="Arial" w:hAnsi="Arial" w:eastAsia="Arial" w:ascii="Arial"/>
              </w:rPr>
              <w:t xml:space="preserve"> 	</w:t>
            </w:r>
            <w:r>
              <w:rPr/>
              <w:t xml:space="preserve">Promotes the vision, mission, and strategic goals of the DEP.  </w:t>
            </w:r>
            <w:r>
              <w:rPr/>
              <w:t xml:space="preserve"> </w:t>
            </w:r>
          </w:p>
          <w:p>
            <w:pPr>
              <w:numPr>
                <w:ilvl w:val="0"/>
                <w:numId w:val="45"/>
              </w:numPr>
              <w:spacing w:before="0" w:after="0" w:line="251" w:lineRule="auto"/>
              <w:ind w:left="720" w:right="0" w:hanging="360"/>
              <w:jc w:val="left"/>
            </w:pPr>
            <w:r>
              <w:rPr/>
              <w:t xml:space="preserve">Displays cultural, gender, religion, race, nationality and age sensitivity and adaptability; </w:t>
            </w:r>
            <w:r>
              <w:rPr/>
              <w:t xml:space="preserve"> </w:t>
            </w:r>
            <w:r>
              <w:rPr>
                <w:rFonts w:cs="Segoe UI Symbol" w:hAnsi="Segoe UI Symbol" w:eastAsia="Segoe UI Symbol" w:ascii="Segoe UI Symbol"/>
                <w:sz w:val="20"/>
              </w:rPr>
              <w:t xml:space="preserve"></w:t>
            </w:r>
            <w:r>
              <w:rPr>
                <w:rFonts w:cs="Arial" w:hAnsi="Arial" w:eastAsia="Arial" w:ascii="Arial"/>
                <w:sz w:val="20"/>
              </w:rPr>
              <w:t xml:space="preserve"> 	</w:t>
            </w:r>
            <w:r>
              <w:rPr/>
              <w:t xml:space="preserve">Treats all people fairly and without favoritism. </w:t>
            </w:r>
            <w:r>
              <w:rPr/>
              <w:t xml:space="preserve"> </w:t>
            </w:r>
          </w:p>
          <w:p>
            <w:pPr>
              <w:spacing w:before="0" w:after="0" w:line="259" w:lineRule="auto"/>
              <w:ind w:left="0" w:right="0" w:firstLine="0"/>
              <w:jc w:val="left"/>
            </w:pPr>
            <w:r>
              <w:rPr/>
              <w:t xml:space="preserve"> </w:t>
            </w:r>
          </w:p>
          <w:p>
            <w:pPr>
              <w:spacing w:before="0" w:after="98" w:line="259" w:lineRule="auto"/>
              <w:ind w:left="0" w:right="0" w:firstLine="0"/>
              <w:jc w:val="left"/>
            </w:pPr>
            <w:r>
              <w:rPr>
                <w:rFonts w:cs="Calibri" w:hAnsi="Calibri" w:eastAsia="Calibri" w:ascii="Calibri"/>
                <w:b w:val="1"/>
              </w:rPr>
              <w:t xml:space="preserve">Functional Competencies:</w:t>
            </w:r>
            <w:r>
              <w:rPr>
                <w:rFonts w:cs="Calibri" w:hAnsi="Calibri" w:eastAsia="Calibri" w:ascii="Calibri"/>
                <w:b w:val="1"/>
              </w:rPr>
              <w:t xml:space="preserve"> </w:t>
            </w:r>
          </w:p>
          <w:p>
            <w:pPr>
              <w:spacing w:before="0" w:after="84" w:line="259" w:lineRule="auto"/>
              <w:ind w:left="0" w:right="0" w:firstLine="0"/>
              <w:jc w:val="left"/>
            </w:pPr>
            <w:r>
              <w:rPr>
                <w:rFonts w:cs="Calibri" w:hAnsi="Calibri" w:eastAsia="Calibri" w:ascii="Calibri"/>
                <w:b w:val="1"/>
              </w:rPr>
              <w:t xml:space="preserve">Technical Expertise</w:t>
            </w:r>
            <w:r>
              <w:rPr>
                <w:rFonts w:cs="Calibri" w:hAnsi="Calibri" w:eastAsia="Calibri" w:ascii="Calibri"/>
                <w:b w:val="1"/>
              </w:rPr>
              <w:t xml:space="preserve"> </w:t>
            </w:r>
          </w:p>
          <w:p>
            <w:pPr>
              <w:numPr>
                <w:ilvl w:val="0"/>
                <w:numId w:val="45"/>
              </w:numPr>
              <w:spacing w:before="0" w:after="46" w:line="240" w:lineRule="auto"/>
              <w:ind w:left="720" w:right="0" w:hanging="360"/>
              <w:jc w:val="left"/>
            </w:pPr>
            <w:r>
              <w:rPr/>
              <w:t xml:space="preserve">Specialist knowledge and high level advisory experience in the area of Elections, preferably in Africa, in a normal (non conflict) development context.</w:t>
            </w:r>
            <w:r>
              <w:rPr/>
              <w:t xml:space="preserve"> </w:t>
            </w:r>
          </w:p>
          <w:p>
            <w:pPr>
              <w:numPr>
                <w:ilvl w:val="0"/>
                <w:numId w:val="45"/>
              </w:numPr>
              <w:spacing w:before="0" w:after="43" w:line="240" w:lineRule="auto"/>
              <w:ind w:left="720" w:right="0" w:hanging="360"/>
              <w:jc w:val="left"/>
            </w:pPr>
            <w:r>
              <w:rPr/>
              <w:t xml:space="preserve">Theoretical</w:t>
            </w:r>
            <w:r>
              <w:rPr/>
              <w:t xml:space="preserve"> </w:t>
            </w:r>
            <w:r>
              <w:rPr/>
              <w:t xml:space="preserve">and practical knowledge of inter</w:t>
            </w:r>
            <w:r>
              <w:rPr/>
              <w:t xml:space="preserve">-</w:t>
            </w:r>
            <w:r>
              <w:rPr/>
              <w:t xml:space="preserve">disciplinary development and governance issues</w:t>
            </w:r>
            <w:r>
              <w:rPr/>
              <w:t xml:space="preserve"> </w:t>
            </w:r>
          </w:p>
          <w:p>
            <w:pPr>
              <w:numPr>
                <w:ilvl w:val="0"/>
                <w:numId w:val="45"/>
              </w:numPr>
              <w:spacing w:before="0" w:after="120" w:line="240" w:lineRule="auto"/>
              <w:ind w:left="720" w:right="0" w:hanging="360"/>
              <w:jc w:val="left"/>
            </w:pPr>
            <w:r>
              <w:rPr/>
              <w:t xml:space="preserve">Strong understanding of political dynamics in government, civil society and the donor community in developing countries</w:t>
            </w:r>
            <w:r>
              <w:rPr/>
              <w:t xml:space="preserve"> </w:t>
            </w:r>
          </w:p>
          <w:p>
            <w:pPr>
              <w:spacing w:before="0" w:after="84" w:line="259" w:lineRule="auto"/>
              <w:ind w:left="0" w:right="0" w:firstLine="0"/>
              <w:jc w:val="left"/>
            </w:pPr>
            <w:r>
              <w:rPr>
                <w:rFonts w:cs="Calibri" w:hAnsi="Calibri" w:eastAsia="Calibri" w:ascii="Calibri"/>
                <w:b w:val="1"/>
              </w:rPr>
              <w:t xml:space="preserve">Knowledge Management and Learning</w:t>
            </w:r>
            <w:r>
              <w:rPr>
                <w:rFonts w:cs="Calibri" w:hAnsi="Calibri" w:eastAsia="Calibri" w:ascii="Calibri"/>
                <w:b w:val="1"/>
              </w:rPr>
              <w:t xml:space="preserve"> </w:t>
            </w:r>
          </w:p>
          <w:p>
            <w:pPr>
              <w:numPr>
                <w:ilvl w:val="0"/>
                <w:numId w:val="45"/>
              </w:numPr>
              <w:spacing w:before="0" w:after="46" w:line="240" w:lineRule="auto"/>
              <w:ind w:left="720" w:right="0" w:hanging="360"/>
              <w:jc w:val="left"/>
            </w:pPr>
            <w:r>
              <w:rPr/>
              <w:t xml:space="preserve">Shares knowledge and experience and contributes to UNDP Practice Areas and actively works towards continuing personal learning and development</w:t>
            </w:r>
            <w:r>
              <w:rPr/>
              <w:t xml:space="preserve"> </w:t>
            </w:r>
          </w:p>
          <w:p>
            <w:pPr>
              <w:numPr>
                <w:ilvl w:val="0"/>
                <w:numId w:val="45"/>
              </w:numPr>
              <w:spacing w:before="0" w:after="0" w:line="259" w:lineRule="auto"/>
              <w:ind w:left="720" w:right="0" w:hanging="360"/>
              <w:jc w:val="left"/>
            </w:pPr>
            <w:r>
              <w:rPr/>
              <w:t xml:space="preserve">Ability to provide top quality policy advice services on electoral issues </w:t>
            </w:r>
            <w:r>
              <w:rPr/>
              <w:t xml:space="preserve"> </w:t>
            </w:r>
          </w:p>
          <w:p>
            <w:pPr>
              <w:numPr>
                <w:ilvl w:val="0"/>
                <w:numId w:val="45"/>
              </w:numPr>
              <w:spacing w:before="0" w:after="72" w:line="259" w:lineRule="auto"/>
              <w:ind w:left="720" w:right="0" w:hanging="360"/>
              <w:jc w:val="left"/>
            </w:pPr>
            <w:r>
              <w:rPr/>
              <w:t xml:space="preserve">In</w:t>
            </w:r>
            <w:r>
              <w:rPr/>
              <w:t xml:space="preserve">-</w:t>
            </w:r>
            <w:r>
              <w:rPr/>
              <w:t xml:space="preserve">depth practical knowledge of inter</w:t>
            </w:r>
            <w:r>
              <w:rPr/>
              <w:t xml:space="preserve">-</w:t>
            </w:r>
            <w:r>
              <w:rPr/>
              <w:t xml:space="preserve">disciplinary development issues</w:t>
            </w:r>
            <w:r>
              <w:rPr/>
              <w:t xml:space="preserve"> </w:t>
            </w:r>
          </w:p>
          <w:p>
            <w:pPr>
              <w:spacing w:before="0" w:after="84" w:line="259" w:lineRule="auto"/>
              <w:ind w:left="0" w:right="0" w:firstLine="0"/>
              <w:jc w:val="left"/>
            </w:pPr>
            <w:r>
              <w:rPr>
                <w:rFonts w:cs="Calibri" w:hAnsi="Calibri" w:eastAsia="Calibri" w:ascii="Calibri"/>
                <w:b w:val="1"/>
              </w:rPr>
              <w:t xml:space="preserve">Development and Operational Effectiveness</w:t>
            </w:r>
            <w:r>
              <w:rPr>
                <w:rFonts w:cs="Calibri" w:hAnsi="Calibri" w:eastAsia="Calibri" w:ascii="Calibri"/>
                <w:b w:val="1"/>
              </w:rPr>
              <w:t xml:space="preserve"> </w:t>
            </w:r>
          </w:p>
          <w:p>
            <w:pPr>
              <w:numPr>
                <w:ilvl w:val="0"/>
                <w:numId w:val="45"/>
              </w:numPr>
              <w:spacing w:before="0" w:after="0" w:line="259" w:lineRule="auto"/>
              <w:ind w:left="720" w:right="0" w:hanging="360"/>
              <w:jc w:val="left"/>
            </w:pPr>
            <w:r>
              <w:rPr/>
              <w:t xml:space="preserve">Ability to lead strategic planning, results</w:t>
            </w:r>
            <w:r>
              <w:rPr/>
              <w:t xml:space="preserve">-</w:t>
            </w:r>
            <w:r>
              <w:rPr/>
              <w:t xml:space="preserve">based management and reporting</w:t>
            </w:r>
            <w:r>
              <w:rPr/>
              <w:t xml:space="preserve"> </w:t>
            </w:r>
          </w:p>
          <w:p>
            <w:pPr>
              <w:numPr>
                <w:ilvl w:val="0"/>
                <w:numId w:val="45"/>
              </w:numPr>
              <w:spacing w:before="0" w:after="46" w:line="240" w:lineRule="auto"/>
              <w:ind w:left="720" w:right="0" w:hanging="360"/>
              <w:jc w:val="left"/>
            </w:pPr>
            <w:r>
              <w:rPr/>
              <w:t xml:space="preserve">Ability to go beyond established procedures and models, propose new approaches which expand the range of programmes</w:t>
            </w:r>
            <w:r>
              <w:rPr/>
              <w:t xml:space="preserve"> </w:t>
            </w:r>
          </w:p>
          <w:p>
            <w:pPr>
              <w:numPr>
                <w:ilvl w:val="0"/>
                <w:numId w:val="45"/>
              </w:numPr>
              <w:spacing w:before="0" w:after="70" w:line="259" w:lineRule="auto"/>
              <w:ind w:left="720" w:right="0" w:hanging="360"/>
              <w:jc w:val="left"/>
            </w:pPr>
            <w:r>
              <w:rPr/>
              <w:t xml:space="preserve">Ability to apply theory to the specific country context</w:t>
            </w:r>
            <w:r>
              <w:rPr/>
              <w:t xml:space="preserve"> </w:t>
            </w:r>
          </w:p>
          <w:p>
            <w:pPr>
              <w:spacing w:before="0" w:after="84" w:line="259" w:lineRule="auto"/>
              <w:ind w:left="0" w:right="0" w:firstLine="0"/>
              <w:jc w:val="left"/>
            </w:pPr>
            <w:r>
              <w:rPr>
                <w:rFonts w:cs="Calibri" w:hAnsi="Calibri" w:eastAsia="Calibri" w:ascii="Calibri"/>
                <w:b w:val="1"/>
              </w:rPr>
              <w:t xml:space="preserve">Management and Leadership</w:t>
            </w:r>
            <w:r>
              <w:rPr>
                <w:rFonts w:cs="Calibri" w:hAnsi="Calibri" w:eastAsia="Calibri" w:ascii="Calibri"/>
                <w:b w:val="1"/>
              </w:rPr>
              <w:t xml:space="preserve"> </w:t>
            </w:r>
          </w:p>
          <w:p>
            <w:pPr>
              <w:numPr>
                <w:ilvl w:val="0"/>
                <w:numId w:val="45"/>
              </w:numPr>
              <w:spacing w:before="0" w:after="0" w:line="259" w:lineRule="auto"/>
              <w:ind w:left="720" w:right="0" w:hanging="360"/>
              <w:jc w:val="left"/>
            </w:pPr>
            <w:r>
              <w:rPr/>
              <w:t xml:space="preserve">Focuses on impact and result for the client and responds positively to critical feedback</w:t>
            </w:r>
            <w:r>
              <w:rPr/>
              <w:t xml:space="preserve"> </w:t>
            </w:r>
          </w:p>
          <w:p>
            <w:pPr>
              <w:numPr>
                <w:ilvl w:val="0"/>
                <w:numId w:val="45"/>
              </w:numPr>
              <w:spacing w:before="0" w:after="0" w:line="259" w:lineRule="auto"/>
              <w:ind w:left="720" w:right="0" w:hanging="360"/>
              <w:jc w:val="left"/>
            </w:pPr>
            <w:r>
              <w:rPr/>
              <w:t xml:space="preserve">Encourages risk</w:t>
            </w:r>
            <w:r>
              <w:rPr/>
              <w:t xml:space="preserve">-</w:t>
            </w:r>
            <w:r>
              <w:rPr/>
              <w:t xml:space="preserve">taking in the pursuit of creativity and innovation</w:t>
            </w:r>
            <w:r>
              <w:rPr/>
              <w:t xml:space="preserve"> </w:t>
            </w:r>
          </w:p>
          <w:p>
            <w:pPr>
              <w:numPr>
                <w:ilvl w:val="0"/>
                <w:numId w:val="45"/>
              </w:numPr>
              <w:spacing w:before="0" w:after="0" w:line="259" w:lineRule="auto"/>
              <w:ind w:left="720" w:right="0" w:hanging="360"/>
              <w:jc w:val="left"/>
            </w:pPr>
            <w:r>
              <w:rPr/>
              <w:t xml:space="preserve">Leads teams effectively and shows conflict resolution skills</w:t>
            </w:r>
            <w:r>
              <w:rPr/>
              <w:t xml:space="preserve"> </w:t>
            </w:r>
          </w:p>
          <w:p>
            <w:pPr>
              <w:numPr>
                <w:ilvl w:val="0"/>
                <w:numId w:val="45"/>
              </w:numPr>
              <w:spacing w:before="0" w:after="0" w:line="259" w:lineRule="auto"/>
              <w:ind w:left="720" w:right="0" w:hanging="360"/>
              <w:jc w:val="left"/>
            </w:pPr>
            <w:r>
              <w:rPr/>
              <w:t xml:space="preserve">Consistently approaches work with energy and a positive, constructive attitude</w:t>
            </w:r>
            <w:r>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1669" w:hRule="atLeast"/>
        </w:trPr>
        <w:tc>
          <w:tcPr>
            <w:tcW w:w="8855" w:type="dxa"/>
            <w:tcBorders>
              <w:top w:val="single" w:sz="4" w:color="000000"/>
              <w:left w:val="single" w:sz="4" w:color="000000"/>
              <w:bottom w:val="single" w:sz="4" w:color="000000"/>
              <w:right w:val="single" w:sz="4" w:color="000000"/>
            </w:tcBorders>
            <w:vAlign w:val="top"/>
          </w:tcPr>
          <w:p>
            <w:pPr>
              <w:numPr>
                <w:ilvl w:val="0"/>
                <w:numId w:val="46"/>
              </w:numPr>
              <w:spacing w:before="0" w:after="0" w:line="259" w:lineRule="auto"/>
              <w:ind w:left="720" w:right="0" w:hanging="360"/>
              <w:jc w:val="left"/>
            </w:pPr>
            <w:r>
              <w:rPr/>
              <w:t xml:space="preserve">Demonstrates strong writing, facilitation, and presentation skills</w:t>
            </w:r>
            <w:r>
              <w:rPr/>
              <w:t xml:space="preserve"> </w:t>
            </w:r>
          </w:p>
          <w:p>
            <w:pPr>
              <w:numPr>
                <w:ilvl w:val="0"/>
                <w:numId w:val="46"/>
              </w:numPr>
              <w:spacing w:before="0" w:after="0" w:line="259" w:lineRule="auto"/>
              <w:ind w:left="720" w:right="0" w:hanging="360"/>
              <w:jc w:val="left"/>
            </w:pPr>
            <w:r>
              <w:rPr/>
              <w:t xml:space="preserve">Builds strong relationships and networks with clients and external actors</w:t>
            </w:r>
            <w:r>
              <w:rPr/>
              <w:t xml:space="preserve"> </w:t>
            </w:r>
          </w:p>
          <w:p>
            <w:pPr>
              <w:numPr>
                <w:ilvl w:val="0"/>
                <w:numId w:val="46"/>
              </w:numPr>
              <w:spacing w:before="0" w:after="46" w:line="240" w:lineRule="auto"/>
              <w:ind w:left="720" w:right="0" w:hanging="360"/>
              <w:jc w:val="left"/>
            </w:pPr>
            <w:r>
              <w:rPr/>
              <w:t xml:space="preserve">Negotiation skills: capacity to work with diverse partners including government, donors and civil society; </w:t>
            </w:r>
            <w:r>
              <w:rPr/>
              <w:t xml:space="preserve"> </w:t>
            </w:r>
          </w:p>
          <w:p>
            <w:pPr>
              <w:numPr>
                <w:ilvl w:val="0"/>
                <w:numId w:val="46"/>
              </w:numPr>
              <w:spacing w:before="0" w:after="0" w:line="259" w:lineRule="auto"/>
              <w:ind w:left="720" w:right="0" w:hanging="360"/>
              <w:jc w:val="left"/>
            </w:pPr>
            <w:r>
              <w:rPr/>
              <w:t xml:space="preserve">Remains calm, in control and good humored even under pressure</w:t>
            </w:r>
            <w:r>
              <w:rPr/>
              <w:t xml:space="preserve"> </w:t>
            </w:r>
          </w:p>
          <w:p>
            <w:pPr>
              <w:spacing w:before="0" w:after="0" w:line="259" w:lineRule="auto"/>
              <w:ind w:left="0" w:right="0" w:firstLine="0"/>
              <w:jc w:val="left"/>
            </w:pPr>
            <w:r>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6" w:type="dxa"/>
          <w:left w:w="0" w:type="dxa"/>
          <w:bottom w:w="0" w:type="dxa"/>
          <w:right w:w="59" w:type="dxa"/>
        </w:tblCellMar>
      </w:tblPr>
      <w:tblGrid>
        <w:gridCol w:w="2987"/>
        <w:gridCol w:w="468"/>
        <w:gridCol w:w="5400"/>
      </w:tblGrid>
      <w:tr>
        <w:trPr>
          <w:trHeight w:val="544" w:hRule="atLeast"/>
        </w:trPr>
        <w:tc>
          <w:tcPr>
            <w:tcW w:w="2987" w:type="dxa"/>
            <w:tcBorders>
              <w:top w:val="single" w:sz="4" w:color="000000"/>
              <w:left w:val="single" w:sz="4" w:color="000000"/>
              <w:bottom w:val="single" w:sz="4" w:color="000000"/>
              <w:right w:val="nil"/>
            </w:tcBorders>
            <w:shd w:val="clear" w:fill="e0e0e0"/>
            <w:vAlign w:val="top"/>
          </w:tcPr>
          <w:p>
            <w:pPr>
              <w:spacing w:before="0" w:after="0" w:line="259" w:lineRule="auto"/>
              <w:ind w:left="107" w:right="0" w:firstLine="0"/>
              <w:jc w:val="left"/>
            </w:pPr>
            <w:r>
              <w:rPr>
                <w:rFonts w:cs="Calibri" w:hAnsi="Calibri" w:eastAsia="Calibri" w:ascii="Calibri"/>
                <w:b w:val="1"/>
              </w:rPr>
              <w:t xml:space="preserve">VI. Recruitment Qualifications</w:t>
            </w:r>
            <w:r>
              <w:rPr/>
              <w:t xml:space="preserve"> </w:t>
            </w:r>
          </w:p>
          <w:p>
            <w:pPr>
              <w:spacing w:before="0" w:after="0" w:line="259" w:lineRule="auto"/>
              <w:ind w:left="107" w:right="0" w:firstLine="0"/>
              <w:jc w:val="left"/>
            </w:pPr>
            <w:r>
              <w:rPr/>
              <w:t xml:space="preserve"> </w:t>
            </w:r>
          </w:p>
        </w:tc>
        <w:tc>
          <w:tcPr>
            <w:tcW w:w="468" w:type="dxa"/>
            <w:tcBorders>
              <w:top w:val="single" w:sz="4" w:color="000000"/>
              <w:left w:val="nil"/>
              <w:bottom w:val="single" w:sz="4" w:color="000000"/>
              <w:right w:val="nil"/>
            </w:tcBorders>
            <w:shd w:val="clear" w:fill="e0e0e0"/>
            <w:vAlign w:val="bottom"/>
          </w:tcPr>
          <w:p>
            <w:pPr>
              <w:bidi w:val="0"/>
              <w:spacing w:before="0" w:after="160" w:line="259" w:lineRule="auto"/>
              <w:ind w:left="0" w:right="0" w:firstLine="0"/>
              <w:jc w:val="left"/>
            </w:pPr>
          </w:p>
        </w:tc>
        <w:tc>
          <w:tcPr>
            <w:tcW w:w="5400" w:type="dxa"/>
            <w:tcBorders>
              <w:top w:val="single" w:sz="4" w:color="000000"/>
              <w:left w:val="nil"/>
              <w:bottom w:val="single" w:sz="4" w:color="000000"/>
              <w:right w:val="single" w:sz="4" w:color="000000"/>
            </w:tcBorders>
            <w:shd w:val="clear" w:fill="e0e0e0"/>
            <w:vAlign w:val="top"/>
          </w:tcPr>
          <w:p>
            <w:pPr>
              <w:bidi w:val="0"/>
              <w:spacing w:before="0" w:after="160" w:line="259" w:lineRule="auto"/>
              <w:ind w:left="0" w:right="0" w:firstLine="0"/>
              <w:jc w:val="left"/>
            </w:pPr>
          </w:p>
        </w:tc>
      </w:tr>
      <w:tr>
        <w:trPr>
          <w:trHeight w:val="1367"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107" w:right="0" w:firstLine="0"/>
              <w:jc w:val="left"/>
            </w:pPr>
            <w:r>
              <w:rPr>
                <w:rFonts w:cs="Calibri" w:hAnsi="Calibri" w:eastAsia="Calibri" w:ascii="Calibri"/>
                <w:b w:val="1"/>
              </w:rPr>
              <w:t xml:space="preserve"> </w:t>
            </w:r>
          </w:p>
          <w:p>
            <w:pPr>
              <w:spacing w:before="0" w:after="0" w:line="259" w:lineRule="auto"/>
              <w:ind w:left="107" w:right="0" w:firstLine="0"/>
              <w:jc w:val="left"/>
            </w:pPr>
            <w:r>
              <w:rPr>
                <w:rFonts w:cs="Calibri" w:hAnsi="Calibri" w:eastAsia="Calibri" w:ascii="Calibri"/>
                <w:b w:val="1"/>
              </w:rPr>
              <w:t xml:space="preserve">Education:</w:t>
            </w:r>
            <w:r>
              <w:rPr>
                <w:rFonts w:cs="Calibri" w:hAnsi="Calibri" w:eastAsia="Calibri" w:ascii="Calibri"/>
                <w:b w:val="1"/>
              </w:rPr>
              <w:t xml:space="preserve"> </w:t>
            </w:r>
          </w:p>
        </w:tc>
        <w:tc>
          <w:tcPr>
            <w:tcW w:w="468" w:type="dxa"/>
            <w:tcBorders>
              <w:top w:val="single" w:sz="4" w:color="000000"/>
              <w:left w:val="single" w:sz="4" w:color="000000"/>
              <w:bottom w:val="single" w:sz="4" w:color="000000"/>
              <w:right w:val="nil"/>
            </w:tcBorders>
            <w:vAlign w:val="top"/>
          </w:tcPr>
          <w:p>
            <w:pPr>
              <w:spacing w:before="0" w:after="488"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08" w:right="0" w:firstLine="0"/>
              <w:jc w:val="left"/>
            </w:pPr>
            <w:r>
              <w:rPr>
                <w:rFonts w:cs="Calibri" w:hAnsi="Calibri" w:eastAsia="Calibri" w:ascii="Calibri"/>
                <w:b w:val="1"/>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5400" w:type="dxa"/>
            <w:tcBorders>
              <w:top w:val="single" w:sz="4" w:color="000000"/>
              <w:left w:val="nil"/>
              <w:bottom w:val="single" w:sz="4" w:color="000000"/>
              <w:right w:val="single" w:sz="4" w:color="000000"/>
            </w:tcBorders>
            <w:vAlign w:val="top"/>
          </w:tcPr>
          <w:p>
            <w:pPr>
              <w:spacing w:before="0" w:after="0" w:line="259" w:lineRule="auto"/>
              <w:ind w:left="0" w:right="0" w:firstLine="0"/>
              <w:jc w:val="left"/>
            </w:pPr>
            <w:r>
              <w:rPr/>
              <w:t xml:space="preserve">Master’s degree in political science or other relevant field, such as</w:t>
            </w:r>
            <w:r>
              <w:rPr/>
              <w:t xml:space="preserve"> </w:t>
            </w:r>
            <w:r>
              <w:rPr/>
              <w:t xml:space="preserve">international relations, law, and public administration, or equivalent</w:t>
            </w:r>
            <w:r>
              <w:rPr/>
              <w:t xml:space="preserve"> </w:t>
            </w:r>
          </w:p>
        </w:tc>
      </w:tr>
    </w:tbl>
    <w:tbl>
      <w:tblPr>
        <w:tblStyle w:val="TableGrid"/>
        <w:tblW w:w="8855" w:type="dxa"/>
        <w:tblInd w:w="-107" w:type="dxa"/>
        <w:tblCellMar>
          <w:top w:w="46" w:type="dxa"/>
          <w:left w:w="0" w:type="dxa"/>
          <w:bottom w:w="0" w:type="dxa"/>
          <w:right w:w="59" w:type="dxa"/>
        </w:tblCellMar>
      </w:tblPr>
      <w:tblGrid>
        <w:gridCol w:w="2987"/>
        <w:gridCol w:w="5868"/>
      </w:tblGrid>
      <w:tr>
        <w:trPr>
          <w:trHeight w:val="5487"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Experience:</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24" w:line="259" w:lineRule="auto"/>
              <w:ind w:left="0" w:right="0" w:firstLine="0"/>
              <w:jc w:val="left"/>
            </w:pPr>
            <w:r>
              <w:rPr>
                <w:rFonts w:cs="Calibri" w:hAnsi="Calibri" w:eastAsia="Calibri" w:ascii="Calibri"/>
                <w:b w:val="1"/>
              </w:rPr>
              <w:t xml:space="preserve"> </w:t>
            </w:r>
          </w:p>
          <w:p>
            <w:pPr>
              <w:numPr>
                <w:ilvl w:val="0"/>
                <w:numId w:val="47"/>
              </w:numPr>
              <w:spacing w:before="0" w:after="46" w:line="239" w:lineRule="auto"/>
              <w:ind w:left="360" w:right="0" w:hanging="360"/>
            </w:pPr>
            <w:r>
              <w:rPr/>
              <w:t xml:space="preserve">Minimum 10 years election advisory,  , CTA or similar experience with electoral processes and election management</w:t>
            </w:r>
            <w:r>
              <w:rPr/>
              <w:t xml:space="preserve"> </w:t>
            </w:r>
            <w:r>
              <w:rPr/>
              <w:t xml:space="preserve">(preferably with an electoral management body or the UN)</w:t>
            </w:r>
            <w:r>
              <w:rPr/>
              <w:t xml:space="preserve">  </w:t>
            </w:r>
          </w:p>
          <w:p>
            <w:pPr>
              <w:numPr>
                <w:ilvl w:val="0"/>
                <w:numId w:val="47"/>
              </w:numPr>
              <w:spacing w:before="0" w:after="48" w:line="238" w:lineRule="auto"/>
              <w:ind w:left="360" w:right="0" w:hanging="360"/>
            </w:pPr>
            <w:r>
              <w:rPr/>
              <w:t xml:space="preserve">Extensive practical experience in election operations, planning, management and/or logistics </w:t>
            </w:r>
            <w:r>
              <w:rPr/>
              <w:t xml:space="preserve"> </w:t>
            </w:r>
          </w:p>
          <w:p>
            <w:pPr>
              <w:numPr>
                <w:ilvl w:val="0"/>
                <w:numId w:val="47"/>
              </w:numPr>
              <w:spacing w:before="0" w:after="46" w:line="240" w:lineRule="auto"/>
              <w:ind w:left="360" w:right="0" w:hanging="360"/>
            </w:pPr>
            <w:r>
              <w:rPr/>
              <w:t xml:space="preserve">Institutional capacity building experience, training, project design and implementation,  monitoring and evaluation skills desirable</w:t>
            </w:r>
            <w:r>
              <w:rPr/>
              <w:t xml:space="preserve"> </w:t>
            </w:r>
          </w:p>
          <w:p>
            <w:pPr>
              <w:numPr>
                <w:ilvl w:val="0"/>
                <w:numId w:val="47"/>
              </w:numPr>
              <w:spacing w:before="0" w:after="44" w:line="240" w:lineRule="auto"/>
              <w:ind w:left="360" w:right="0" w:hanging="360"/>
            </w:pPr>
            <w:r>
              <w:rPr/>
              <w:t xml:space="preserve">Knowledge of UN financial management systems an advantage</w:t>
            </w:r>
            <w:r>
              <w:rPr/>
              <w:t xml:space="preserve"> </w:t>
            </w:r>
          </w:p>
          <w:p>
            <w:pPr>
              <w:numPr>
                <w:ilvl w:val="0"/>
                <w:numId w:val="47"/>
              </w:numPr>
              <w:spacing w:before="0" w:after="46" w:line="240" w:lineRule="auto"/>
              <w:ind w:left="360" w:right="0" w:hanging="360"/>
            </w:pPr>
            <w:r>
              <w:rPr/>
              <w:t xml:space="preserve">Experience with UN, governments, donors, non</w:t>
            </w:r>
            <w:r>
              <w:rPr/>
              <w:t xml:space="preserve"/>
            </w:r>
            <w:r>
              <w:rPr/>
              <w:t xml:space="preserve">government and international development organizations</w:t>
            </w:r>
            <w:r>
              <w:rPr/>
              <w:t xml:space="preserve"> </w:t>
            </w:r>
          </w:p>
          <w:p>
            <w:pPr>
              <w:numPr>
                <w:ilvl w:val="0"/>
                <w:numId w:val="47"/>
              </w:numPr>
              <w:spacing w:before="0" w:after="0" w:line="259" w:lineRule="auto"/>
              <w:ind w:left="360" w:right="0" w:hanging="360"/>
            </w:pPr>
            <w:r>
              <w:rPr/>
              <w:t xml:space="preserve">Excellent 	analytical, 	communication, 	writing 	and </w:t>
            </w:r>
          </w:p>
          <w:p>
            <w:pPr>
              <w:spacing w:before="0" w:after="24" w:line="259" w:lineRule="auto"/>
              <w:ind w:left="360" w:right="0" w:firstLine="0"/>
              <w:jc w:val="left"/>
            </w:pPr>
            <w:r>
              <w:rPr/>
              <w:t xml:space="preserve">presentation skills</w:t>
            </w:r>
            <w:r>
              <w:rPr/>
              <w:t xml:space="preserve"> </w:t>
            </w:r>
          </w:p>
          <w:p>
            <w:pPr>
              <w:numPr>
                <w:ilvl w:val="0"/>
                <w:numId w:val="47"/>
              </w:numPr>
              <w:spacing w:before="0" w:after="0" w:line="259" w:lineRule="auto"/>
              <w:ind w:left="360" w:right="0" w:hanging="360"/>
            </w:pPr>
            <w:r>
              <w:rPr/>
              <w:t xml:space="preserve">Experience in Sub</w:t>
            </w:r>
            <w:r>
              <w:rPr/>
              <w:t xml:space="preserve">-</w:t>
            </w:r>
            <w:r>
              <w:rPr/>
              <w:t xml:space="preserve">Saharan</w:t>
            </w:r>
            <w:r>
              <w:rPr/>
              <w:t xml:space="preserve"> </w:t>
            </w:r>
            <w:r>
              <w:rPr/>
              <w:t xml:space="preserve">Africa an advantage</w:t>
            </w:r>
            <w:r>
              <w:rPr/>
              <w:t xml:space="preserve"> </w:t>
            </w:r>
          </w:p>
          <w:p>
            <w:pPr>
              <w:numPr>
                <w:ilvl w:val="0"/>
                <w:numId w:val="47"/>
              </w:numPr>
              <w:spacing w:before="0" w:after="48" w:line="238" w:lineRule="auto"/>
              <w:ind w:left="360" w:right="0" w:hanging="360"/>
            </w:pPr>
            <w:r>
              <w:rPr/>
              <w:t xml:space="preserve">Willingness to travel frequently in Tanzania and to work extensive hours and under pressure</w:t>
            </w:r>
            <w:r>
              <w:rPr/>
              <w:t xml:space="preserve"> </w:t>
            </w:r>
          </w:p>
          <w:p>
            <w:pPr>
              <w:numPr>
                <w:ilvl w:val="0"/>
                <w:numId w:val="47"/>
              </w:numPr>
              <w:spacing w:before="0" w:after="0" w:line="259" w:lineRule="auto"/>
              <w:ind w:left="360" w:right="0" w:hanging="360"/>
            </w:pPr>
            <w:r>
              <w:rPr/>
              <w:t xml:space="preserve">Advanced computer skills essential</w:t>
            </w:r>
            <w:r>
              <w:rPr/>
              <w:t xml:space="preserve">  </w:t>
            </w:r>
          </w:p>
        </w:tc>
      </w:tr>
      <w:tr>
        <w:trPr>
          <w:trHeight w:val="816"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Language Requirements:</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39" w:lineRule="auto"/>
              <w:ind w:left="0" w:right="0" w:firstLine="0"/>
              <w:jc w:val="left"/>
            </w:pPr>
            <w:r>
              <w:rPr/>
              <w:t xml:space="preserve">English language fluency written and spoken, essential. </w:t>
            </w:r>
            <w:r>
              <w:rPr/>
              <w:t xml:space="preserve"> </w:t>
            </w:r>
            <w:r>
              <w:rPr/>
              <w:t xml:space="preserve">Knowledge of Kiswahili an</w:t>
            </w:r>
            <w:r>
              <w:rPr/>
              <w:t xml:space="preserve"> </w:t>
            </w:r>
            <w:r>
              <w:rPr/>
              <w:t xml:space="preserve">asset.</w:t>
            </w:r>
            <w:r>
              <w:rPr/>
              <w:t xml:space="preserve"> </w:t>
            </w:r>
          </w:p>
          <w:p>
            <w:pPr>
              <w:spacing w:before="0" w:after="0" w:line="259" w:lineRule="auto"/>
              <w:ind w:left="0" w:right="0" w:firstLine="0"/>
              <w:jc w:val="left"/>
            </w:pP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4" w:type="dxa"/>
          <w:left w:w="107" w:type="dxa"/>
          <w:bottom w:w="7" w:type="dxa"/>
          <w:right w:w="57" w:type="dxa"/>
        </w:tblCellMar>
      </w:tblPr>
      <w:tblGrid>
        <w:gridCol w:w="4427"/>
        <w:gridCol w:w="4428"/>
      </w:tblGrid>
      <w:tr>
        <w:trPr>
          <w:trHeight w:val="545" w:hRule="atLeast"/>
        </w:trPr>
        <w:tc>
          <w:tcPr>
            <w:tcW w:w="4427" w:type="dxa"/>
            <w:tcBorders>
              <w:top w:val="single" w:sz="4" w:color="000000"/>
              <w:left w:val="single" w:sz="4" w:color="000000"/>
              <w:bottom w:val="single" w:sz="4" w:color="000000"/>
              <w:right w:val="nil"/>
            </w:tcBorders>
            <w:shd w:val="clear" w:fill="e0e0e0"/>
            <w:vAlign w:val="top"/>
          </w:tcPr>
          <w:p>
            <w:pPr>
              <w:spacing w:before="0" w:after="0" w:line="259" w:lineRule="auto"/>
              <w:ind w:left="0" w:right="0" w:firstLine="0"/>
              <w:jc w:val="left"/>
            </w:pPr>
            <w:r>
              <w:rPr>
                <w:rFonts w:cs="Calibri" w:hAnsi="Calibri" w:eastAsia="Calibri" w:ascii="Calibri"/>
                <w:b w:val="1"/>
              </w:rPr>
              <w:t xml:space="preserve">I.  Position Information</w:t>
            </w:r>
            <w:r>
              <w:rPr/>
              <w:t xml:space="preserve"> </w:t>
            </w:r>
          </w:p>
        </w:tc>
        <w:tc>
          <w:tcPr>
            <w:tcW w:w="4428" w:type="dxa"/>
            <w:tcBorders>
              <w:top w:val="single" w:sz="4" w:color="000000"/>
              <w:left w:val="nil"/>
              <w:bottom w:val="single" w:sz="4" w:color="000000"/>
              <w:right w:val="single" w:sz="4" w:color="000000"/>
            </w:tcBorders>
            <w:shd w:val="clear" w:fill="e0e0e0"/>
            <w:vAlign w:val="bottom"/>
          </w:tcPr>
          <w:p>
            <w:pPr>
              <w:spacing w:before="0" w:after="0" w:line="259" w:lineRule="auto"/>
              <w:ind w:left="0" w:right="0" w:firstLine="0"/>
              <w:jc w:val="right"/>
            </w:pPr>
            <w:r>
              <w:rPr/>
              <w:t xml:space="preserve"> </w:t>
            </w:r>
          </w:p>
        </w:tc>
      </w:tr>
      <w:tr>
        <w:trPr>
          <w:trHeight w:val="1890" w:hRule="atLeast"/>
        </w:trPr>
        <w:tc>
          <w:tcPr>
            <w:tcW w:w="4427" w:type="dxa"/>
            <w:tcBorders>
              <w:top w:val="single" w:sz="4" w:color="000000"/>
              <w:left w:val="single" w:sz="4" w:color="000000"/>
              <w:bottom w:val="single" w:sz="4" w:color="000000"/>
              <w:right w:val="single" w:sz="4" w:color="000000"/>
            </w:tcBorders>
            <w:vAlign w:val="top"/>
          </w:tcPr>
          <w:p>
            <w:pPr>
              <w:spacing w:before="0" w:after="0" w:line="252" w:lineRule="auto"/>
              <w:ind w:left="0" w:right="175" w:firstLine="0"/>
              <w:jc w:val="left"/>
            </w:pPr>
            <w:r>
              <w:rPr>
                <w:rFonts w:cs="Calibri" w:hAnsi="Calibri" w:eastAsia="Calibri" w:ascii="Calibri"/>
                <w:b w:val="1"/>
              </w:rPr>
              <w:t xml:space="preserve">Job Code Title:</w:t>
            </w:r>
            <w:r>
              <w:rPr>
                <w:rFonts w:cs="Calibri" w:hAnsi="Calibri" w:eastAsia="Calibri" w:ascii="Calibri"/>
                <w:b w:val="1"/>
              </w:rPr>
              <w:t xml:space="preserve">  	 	 	</w:t>
            </w:r>
            <w:r>
              <w:rPr/>
              <w:t xml:space="preserve"> </w:t>
            </w:r>
            <w:r>
              <w:rPr>
                <w:rFonts w:cs="Calibri" w:hAnsi="Calibri" w:eastAsia="Calibri" w:ascii="Calibri"/>
                <w:b w:val="1"/>
              </w:rPr>
              <w:t xml:space="preserve">Recommended Grade:</w:t>
            </w:r>
            <w:r>
              <w:rPr>
                <w:rFonts w:cs="Calibri" w:hAnsi="Calibri" w:eastAsia="Calibri" w:ascii="Calibri"/>
                <w:b w:val="1"/>
              </w:rPr>
              <w:t xml:space="preserve">  	 	</w:t>
            </w:r>
            <w:r>
              <w:rPr/>
              <w:t xml:space="preserve"> </w:t>
            </w:r>
            <w:r>
              <w:rPr>
                <w:rFonts w:cs="Calibri" w:hAnsi="Calibri" w:eastAsia="Calibri" w:ascii="Calibri"/>
                <w:b w:val="1"/>
              </w:rPr>
              <w:t xml:space="preserve">Supervisor:</w:t>
            </w:r>
            <w:r>
              <w:rPr>
                <w:rFonts w:cs="Calibri" w:hAnsi="Calibri" w:eastAsia="Calibri" w:ascii="Calibri"/>
                <w:b w:val="1"/>
              </w:rPr>
              <w:t xml:space="preserve"> 	 	 	 	</w:t>
            </w:r>
            <w:r>
              <w:rPr/>
              <w:t xml:space="preserve"> </w:t>
            </w:r>
            <w:r>
              <w:rPr>
                <w:rFonts w:cs="Calibri" w:hAnsi="Calibri" w:eastAsia="Calibri" w:ascii="Calibri"/>
                <w:b w:val="1"/>
              </w:rPr>
              <w:t xml:space="preserve">Duration:</w:t>
            </w:r>
            <w:r>
              <w:rPr>
                <w:rFonts w:cs="Calibri" w:hAnsi="Calibri" w:eastAsia="Calibri" w:ascii="Calibri"/>
                <w:b w:val="1"/>
              </w:rPr>
              <w:t xml:space="preserve"> 	 	 	 	</w:t>
            </w:r>
            <w:r>
              <w:rPr/>
              <w:t xml:space="preserve"> </w:t>
            </w:r>
            <w:r>
              <w:rPr>
                <w:rFonts w:cs="Calibri" w:hAnsi="Calibri" w:eastAsia="Calibri" w:ascii="Calibri"/>
                <w:b w:val="1"/>
              </w:rPr>
              <w:t xml:space="preserve">Starting Date:</w:t>
            </w:r>
            <w:r>
              <w:rPr>
                <w:rFonts w:cs="Calibri" w:hAnsi="Calibri" w:eastAsia="Calibri" w:ascii="Calibri"/>
                <w:b w:val="1"/>
              </w:rPr>
              <w:t xml:space="preserve">  	 	 	</w:t>
            </w:r>
            <w:r>
              <w:rPr/>
              <w:t xml:space="preserve"> </w:t>
            </w:r>
            <w:r>
              <w:rPr>
                <w:rFonts w:cs="Calibri" w:hAnsi="Calibri" w:eastAsia="Calibri" w:ascii="Calibri"/>
                <w:b w:val="1"/>
              </w:rPr>
              <w:t xml:space="preserve">Duty Station:</w:t>
            </w:r>
            <w:r>
              <w:rPr>
                <w:rFonts w:cs="Calibri" w:hAnsi="Calibri" w:eastAsia="Calibri" w:ascii="Calibri"/>
                <w:b w:val="1"/>
              </w:rPr>
              <w:t xml:space="preserve"> 	 	 	 	</w:t>
            </w:r>
            <w:r>
              <w:rPr/>
              <w:t xml:space="preserve"> </w:t>
            </w:r>
          </w:p>
          <w:p>
            <w:pPr>
              <w:spacing w:before="0" w:after="0" w:line="259" w:lineRule="auto"/>
              <w:ind w:left="0" w:right="0" w:firstLine="0"/>
              <w:jc w:val="left"/>
            </w:pPr>
            <w:r>
              <w:rPr>
                <w:rFonts w:cs="Calibri" w:hAnsi="Calibri" w:eastAsia="Calibri" w:ascii="Calibri"/>
                <w:b w:val="1"/>
              </w:rPr>
              <w:t xml:space="preserve"> </w:t>
            </w:r>
          </w:p>
        </w:tc>
        <w:tc>
          <w:tcPr>
            <w:tcW w:w="4428"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Calibri" w:hAnsi="Calibri" w:eastAsia="Calibri" w:ascii="Calibri"/>
                <w:b w:val="1"/>
              </w:rPr>
              <w:t xml:space="preserve">Project Manager: Electoral Support </w:t>
            </w:r>
            <w:r>
              <w:rPr/>
              <w:t xml:space="preserve"> </w:t>
            </w:r>
          </w:p>
          <w:p>
            <w:pPr>
              <w:spacing w:before="0" w:after="0" w:line="259" w:lineRule="auto"/>
              <w:ind w:left="1" w:right="0" w:firstLine="0"/>
              <w:jc w:val="left"/>
            </w:pPr>
            <w:r>
              <w:rPr>
                <w:rFonts w:cs="Calibri" w:hAnsi="Calibri" w:eastAsia="Calibri" w:ascii="Calibri"/>
                <w:b w:val="1"/>
              </w:rPr>
              <w:t xml:space="preserve">P4</w:t>
            </w:r>
            <w:r>
              <w:rPr/>
              <w:t xml:space="preserve"> </w:t>
            </w:r>
          </w:p>
          <w:p>
            <w:pPr>
              <w:spacing w:before="0" w:after="0" w:line="259" w:lineRule="auto"/>
              <w:ind w:left="1" w:right="0" w:firstLine="0"/>
              <w:jc w:val="left"/>
            </w:pPr>
            <w:r>
              <w:rPr>
                <w:rFonts w:cs="Calibri" w:hAnsi="Calibri" w:eastAsia="Calibri" w:ascii="Calibri"/>
                <w:b w:val="1"/>
              </w:rPr>
              <w:t xml:space="preserve"> </w:t>
            </w:r>
            <w:r>
              <w:rPr>
                <w:rFonts w:cs="Calibri" w:hAnsi="Calibri" w:eastAsia="Calibri" w:ascii="Calibri"/>
                <w:b w:val="1"/>
              </w:rPr>
              <w:t xml:space="preserve">DCD</w:t>
            </w:r>
            <w:r>
              <w:rPr>
                <w:rFonts w:cs="Calibri" w:hAnsi="Calibri" w:eastAsia="Calibri" w:ascii="Calibri"/>
                <w:b w:val="1"/>
              </w:rPr>
              <w:t xml:space="preserve">-</w:t>
            </w:r>
            <w:r>
              <w:rPr>
                <w:rFonts w:cs="Calibri" w:hAnsi="Calibri" w:eastAsia="Calibri" w:ascii="Calibri"/>
                <w:b w:val="1"/>
              </w:rPr>
              <w:t xml:space="preserve">P</w:t>
            </w:r>
            <w:r>
              <w:rPr/>
              <w:t xml:space="preserve"> </w:t>
            </w:r>
          </w:p>
          <w:p>
            <w:pPr>
              <w:spacing w:before="0" w:after="0" w:line="259" w:lineRule="auto"/>
              <w:ind w:left="1" w:right="0" w:firstLine="0"/>
              <w:jc w:val="left"/>
            </w:pPr>
            <w:r>
              <w:rPr/>
              <w:t xml:space="preserve"> </w:t>
            </w:r>
          </w:p>
          <w:p>
            <w:pPr>
              <w:spacing w:before="0" w:after="0" w:line="259" w:lineRule="auto"/>
              <w:ind w:left="1" w:right="0" w:firstLine="0"/>
              <w:jc w:val="left"/>
            </w:pPr>
            <w:r>
              <w:rPr>
                <w:rFonts w:cs="Calibri" w:hAnsi="Calibri" w:eastAsia="Calibri" w:ascii="Calibri"/>
                <w:b w:val="1"/>
              </w:rPr>
              <w:t xml:space="preserve">As soon as possible </w:t>
            </w:r>
            <w:r>
              <w:rPr/>
              <w:t xml:space="preserve"> </w:t>
            </w:r>
          </w:p>
          <w:p>
            <w:pPr>
              <w:spacing w:before="0" w:after="0" w:line="259" w:lineRule="auto"/>
              <w:ind w:left="1" w:right="0" w:firstLine="0"/>
              <w:jc w:val="left"/>
            </w:pPr>
            <w:r>
              <w:rPr>
                <w:rFonts w:cs="Calibri" w:hAnsi="Calibri" w:eastAsia="Calibri" w:ascii="Calibri"/>
                <w:b w:val="1"/>
              </w:rPr>
              <w:t xml:space="preserve">Dar es Salaam, Tanzania</w:t>
            </w: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8" w:type="dxa"/>
          <w:right w:w="57" w:type="dxa"/>
        </w:tblCellMar>
      </w:tblPr>
      <w:tblGrid>
        <w:gridCol w:w="8855"/>
      </w:tblGrid>
      <w:tr>
        <w:trPr>
          <w:trHeight w:val="132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38" w:line="259" w:lineRule="auto"/>
              <w:ind w:left="0" w:right="0" w:firstLine="0"/>
              <w:jc w:val="left"/>
            </w:pPr>
            <w:r>
              <w:rPr>
                <w:rFonts w:cs="Calibri" w:hAnsi="Calibri" w:eastAsia="Calibri" w:ascii="Calibri"/>
                <w:b w:val="1"/>
              </w:rPr>
              <w:t xml:space="preserve">II. Organizational Context </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i w:val="1"/>
              </w:rPr>
              <w:t xml:space="preserve"> </w:t>
            </w:r>
          </w:p>
        </w:tc>
      </w:tr>
      <w:tr>
        <w:trPr>
          <w:trHeight w:val="2752" w:hRule="atLeast"/>
        </w:trPr>
        <w:tc>
          <w:tcPr>
            <w:tcW w:w="8855" w:type="dxa"/>
            <w:tcBorders>
              <w:top w:val="single" w:sz="4" w:color="000000"/>
              <w:left w:val="single" w:sz="4" w:color="000000"/>
              <w:bottom w:val="single" w:sz="4" w:color="000000"/>
              <w:right w:val="single" w:sz="4" w:color="000000"/>
            </w:tcBorders>
            <w:vAlign w:val="top"/>
          </w:tcPr>
          <w:p>
            <w:pPr>
              <w:spacing w:before="0" w:after="1" w:line="275" w:lineRule="auto"/>
              <w:ind w:left="0" w:right="47" w:firstLine="0"/>
            </w:pPr>
            <w:r>
              <w:rPr/>
              <w:t xml:space="preserve">Tanzania has had 4 credible general elections since the reintroduction of multi</w:t>
            </w:r>
            <w:r>
              <w:rPr/>
              <w:t xml:space="preserve">-</w:t>
            </w:r>
            <w:r>
              <w:rPr/>
              <w:t xml:space="preserve">party politics in 1992. Citizens and the government are eager to maintain this track record and to further strengthen democratic practice in Tanzania. Looking to the 2015 general election, government has</w:t>
            </w:r>
            <w:r>
              <w:rPr/>
              <w:t xml:space="preserve"> </w:t>
            </w:r>
            <w:r>
              <w:rPr/>
              <w:t xml:space="preserve">undertaken early and comprehensive preparations for the electoral processes. Since receipt of official requests for UN assistance to the election cycle leading to the 2015 general election from the National Election Commission and Zanzibar Electoral Commission, a UN Needs Assessment Mission recommended the development of a project in support of the National efforts.</w:t>
            </w:r>
            <w:r>
              <w:rPr/>
              <w:t xml:space="preserve"> </w:t>
            </w:r>
          </w:p>
          <w:p>
            <w:pPr>
              <w:spacing w:before="0" w:after="0" w:line="259" w:lineRule="auto"/>
              <w:ind w:left="0" w:right="0" w:firstLine="0"/>
              <w:jc w:val="left"/>
            </w:pPr>
            <w:r>
              <w:rPr>
                <w:rFonts w:cs="Calibri" w:hAnsi="Calibri" w:eastAsia="Calibri" w:ascii="Calibri"/>
                <w:b w:val="1"/>
              </w:rPr>
              <w:t xml:space="preserve"> </w:t>
            </w:r>
          </w:p>
        </w:tc>
      </w:tr>
    </w:tbl>
    <w:p>
      <w:pPr>
        <w:pBdr>
          <w:top w:val="single" w:color="000000" w:sz="4"/>
          <w:left w:val="single" w:color="000000" w:sz="4"/>
          <w:bottom w:val="single" w:color="000000" w:sz="4"/>
          <w:right w:val="single" w:color="000000" w:sz="4"/>
        </w:pBdr>
        <w:spacing w:before="0" w:after="4" w:line="267" w:lineRule="auto"/>
        <w:ind w:left="-4" w:right="375"/>
      </w:pPr>
      <w:r>
        <w:rPr/>
        <w:t xml:space="preserve">As well, in 2014 the United Republic of Tanzania will likely conduct the first national referendum on a new constitution. The National partners and other stakeholders in preparing for these critical events have requested the support of UNDP to provide technical and financial support to the preparation and execution of the referendum and general election.  </w:t>
      </w:r>
      <w:r>
        <w:rPr/>
        <w:t xml:space="preserve"> </w:t>
      </w:r>
    </w:p>
    <w:p>
      <w:pPr>
        <w:pBdr>
          <w:top w:val="single" w:color="000000" w:sz="4"/>
          <w:left w:val="single" w:color="000000" w:sz="4"/>
          <w:bottom w:val="single" w:color="000000" w:sz="4"/>
          <w:right w:val="single" w:color="000000" w:sz="4"/>
        </w:pBdr>
        <w:spacing w:before="0" w:after="19" w:line="259" w:lineRule="auto"/>
        <w:ind w:left="-14" w:right="375" w:firstLine="0"/>
        <w:jc w:val="left"/>
      </w:pPr>
      <w:r>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To these ends, the Democratic Empowerment Project is a four</w:t>
      </w:r>
      <w:r>
        <w:rPr/>
        <w:t xml:space="preserve">-</w:t>
      </w:r>
      <w:r>
        <w:rPr/>
        <w:t xml:space="preserve">year (2013</w:t>
      </w:r>
      <w:r>
        <w:rPr/>
        <w:t xml:space="preserve">-</w:t>
      </w:r>
      <w:r>
        <w:rPr/>
        <w:t xml:space="preserve">2016) UNDP, UN One Fund and other donor</w:t>
      </w:r>
      <w:r>
        <w:rPr/>
        <w:t xml:space="preserve">-</w:t>
      </w:r>
      <w:r>
        <w:rPr/>
        <w:t xml:space="preserve">funded project with the overall aim of contributing to Tanzania’s UNDAP’s Outcome 7: i.e. “key institutions (of democracy, i.e. EMBs, etc.) effectively implement their election and political functions.” </w:t>
      </w:r>
      <w:r>
        <w:rPr/>
        <w:t xml:space="preserve"> </w:t>
      </w:r>
    </w:p>
    <w:p>
      <w:pPr>
        <w:pBdr>
          <w:top w:val="single" w:color="000000" w:sz="4"/>
          <w:left w:val="single" w:color="000000" w:sz="4"/>
          <w:bottom w:val="single" w:color="000000" w:sz="4"/>
          <w:right w:val="single" w:color="000000" w:sz="4"/>
        </w:pBdr>
        <w:spacing w:before="0" w:after="0" w:line="259" w:lineRule="auto"/>
        <w:ind w:left="-14" w:right="375" w:firstLine="0"/>
        <w:jc w:val="left"/>
      </w:pPr>
      <w:r>
        <w:rPr>
          <w:rFonts w:cs="Calibri" w:hAnsi="Calibri" w:eastAsia="Calibri" w:ascii="Calibri"/>
          <w:b w:val="1"/>
        </w:rPr>
        <w:t xml:space="preserve"> </w:t>
      </w:r>
    </w:p>
    <w:p>
      <w:pPr>
        <w:pStyle w:val="heading4"/>
        <w:pBdr>
          <w:top w:val="single" w:color="000000" w:sz="4"/>
          <w:left w:val="single" w:color="000000" w:sz="4"/>
          <w:bottom w:val="single" w:color="000000" w:sz="4"/>
          <w:right w:val="single" w:color="000000" w:sz="4"/>
        </w:pBdr>
        <w:spacing w:before="0" w:after="0" w:line="259" w:lineRule="auto"/>
        <w:ind w:left="-4" w:right="375"/>
      </w:pPr>
      <w:r>
        <w:rPr/>
        <w:t xml:space="preserve">Project Objectives</w:t>
      </w:r>
      <w:r>
        <w:rPr>
          <w:rFonts w:cs="Calibri" w:hAnsi="Calibri" w:eastAsia="Calibri" w:ascii="Calibri"/>
          <w:b w:val="0"/>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The Project seeks to promote democracy and contribute to the realisation of the following four outputs: </w:t>
      </w:r>
      <w:r>
        <w:rPr/>
        <w:t xml:space="preserve"> </w:t>
      </w:r>
    </w:p>
    <w:p>
      <w:pPr>
        <w:numPr>
          <w:ilvl w:val="0"/>
          <w:numId w:val="21"/>
        </w:numPr>
        <w:pBdr>
          <w:top w:val="single" w:color="000000" w:sz="4"/>
          <w:left w:val="single" w:color="000000" w:sz="4"/>
          <w:bottom w:val="single" w:color="000000" w:sz="4"/>
          <w:right w:val="single" w:color="000000" w:sz="4"/>
        </w:pBdr>
        <w:spacing w:before="0" w:after="4" w:line="267" w:lineRule="auto"/>
        <w:ind w:left="216" w:right="375" w:hanging="230"/>
      </w:pPr>
      <w:r>
        <w:rPr/>
        <w:t xml:space="preserve">Capacity of the key democratic institutions (EMBs, CRC, RPP, etc.) enhanced to support and promote legal and institutional reform in the context of the on</w:t>
      </w:r>
      <w:r>
        <w:rPr/>
        <w:t xml:space="preserve">-</w:t>
      </w:r>
      <w:r>
        <w:rPr/>
        <w:t xml:space="preserve">going constitutional reform process and beyond; </w:t>
      </w:r>
      <w:r>
        <w:rPr/>
        <w:t xml:space="preserve"> </w:t>
      </w:r>
    </w:p>
    <w:p>
      <w:pPr>
        <w:numPr>
          <w:ilvl w:val="0"/>
          <w:numId w:val="21"/>
        </w:numPr>
        <w:pBdr>
          <w:top w:val="single" w:color="000000" w:sz="4"/>
          <w:left w:val="single" w:color="000000" w:sz="4"/>
          <w:bottom w:val="single" w:color="000000" w:sz="4"/>
          <w:right w:val="single" w:color="000000" w:sz="4"/>
        </w:pBdr>
        <w:spacing w:before="0" w:after="4" w:line="267" w:lineRule="auto"/>
        <w:ind w:left="216" w:right="375" w:hanging="230"/>
      </w:pPr>
      <w:r>
        <w:rPr/>
        <w:t xml:space="preserve">Capacity of the EMBs to conduct credible elections enhanced through strategic, technical and operational support and improved EMB engagement with stakeholders (i.e. political parties, CSOs, and the media)  to foster a democratic environment</w:t>
      </w:r>
      <w:r>
        <w:rPr/>
        <w:t xml:space="preserve">7</w:t>
      </w:r>
      <w:r>
        <w:rPr/>
        <w:t xml:space="preserve">;  </w:t>
      </w:r>
    </w:p>
    <w:p>
      <w:pPr>
        <w:numPr>
          <w:ilvl w:val="0"/>
          <w:numId w:val="21"/>
        </w:numPr>
        <w:pBdr>
          <w:top w:val="single" w:color="000000" w:sz="4"/>
          <w:left w:val="single" w:color="000000" w:sz="4"/>
          <w:bottom w:val="single" w:color="000000" w:sz="4"/>
          <w:right w:val="single" w:color="000000" w:sz="4"/>
        </w:pBdr>
        <w:spacing w:before="0" w:after="4" w:line="267" w:lineRule="auto"/>
        <w:ind w:left="216" w:right="375" w:hanging="230"/>
      </w:pPr>
      <w:r>
        <w:rPr/>
        <w:t xml:space="preserve">inclusive participation in elections and politics enhanced through the empowerment of women, youth and PWDs; and </w:t>
      </w:r>
      <w:r>
        <w:rPr/>
        <w:t xml:space="preserve"> </w:t>
      </w:r>
    </w:p>
    <w:p>
      <w:pPr>
        <w:numPr>
          <w:ilvl w:val="0"/>
          <w:numId w:val="21"/>
        </w:numPr>
        <w:pBdr>
          <w:top w:val="single" w:color="000000" w:sz="4"/>
          <w:left w:val="single" w:color="000000" w:sz="4"/>
          <w:bottom w:val="single" w:color="000000" w:sz="4"/>
          <w:right w:val="single" w:color="000000" w:sz="4"/>
        </w:pBdr>
        <w:spacing w:before="0" w:after="4" w:line="267" w:lineRule="auto"/>
        <w:ind w:left="216" w:right="375" w:hanging="230"/>
      </w:pPr>
      <w:r>
        <w:rPr/>
        <w:t xml:space="preserve">National</w:t>
      </w:r>
      <w:r>
        <w:rPr/>
        <w:t xml:space="preserve"> </w:t>
      </w:r>
      <w:r>
        <w:rPr/>
        <w:t xml:space="preserve">peace infrastructure enhanced to mitigate and prevent</w:t>
      </w:r>
      <w:r>
        <w:rPr/>
        <w:t xml:space="preserve"> </w:t>
      </w:r>
      <w:r>
        <w:rPr/>
        <w:t xml:space="preserve">election</w:t>
      </w:r>
      <w:r>
        <w:rPr/>
        <w:t xml:space="preserve">-</w:t>
      </w:r>
      <w:r>
        <w:rPr/>
        <w:t xml:space="preserve">related conflicts.</w:t>
      </w:r>
      <w:r>
        <w:rPr>
          <w:rFonts w:cs="Calibri" w:hAnsi="Calibri" w:eastAsia="Calibri" w:ascii="Calibri"/>
          <w:b w:val="1"/>
        </w:rPr>
        <w:t xml:space="preserve"> </w:t>
      </w:r>
    </w:p>
    <w:p>
      <w:pPr>
        <w:spacing w:before="0" w:after="0" w:line="259" w:lineRule="auto"/>
        <w:ind w:left="1" w:right="0" w:firstLine="0"/>
        <w:jc w:val="left"/>
      </w:pPr>
      <w:r>
        <w:rPr>
          <w:rFonts w:cs="Calibri" w:hAnsi="Calibri" w:eastAsia="Calibri" w:ascii="Calibri"/>
          <w:b w:val="1"/>
        </w:rPr>
        <w:t xml:space="preserve"> </w:t>
      </w:r>
    </w:p>
    <w:p>
      <w:pPr>
        <w:pStyle w:val="heading4"/>
        <w:pBdr>
          <w:top w:val="single" w:color="000000" w:sz="4"/>
          <w:left w:val="single" w:color="000000" w:sz="4"/>
          <w:bottom w:val="single" w:color="000000" w:sz="4"/>
          <w:right w:val="single" w:color="000000" w:sz="4"/>
        </w:pBdr>
        <w:spacing w:before="0" w:after="0" w:line="259" w:lineRule="auto"/>
        <w:ind w:left="-4" w:right="0"/>
      </w:pPr>
      <w:r>
        <w:rPr/>
        <w:t xml:space="preserve"> </w:t>
      </w:r>
      <w:r>
        <w:rPr/>
        <w:t xml:space="preserve">Project Management</w:t>
      </w:r>
      <w:r>
        <w:rPr>
          <w:rFonts w:cs="Calibri" w:hAnsi="Calibri" w:eastAsia="Calibri" w:ascii="Calibri"/>
          <w:b w:val="0"/>
        </w:rPr>
        <w:t xml:space="preserve"> </w:t>
      </w:r>
    </w:p>
    <w:p>
      <w:pPr>
        <w:pBdr>
          <w:top w:val="single" w:color="000000" w:sz="4"/>
          <w:left w:val="single" w:color="000000" w:sz="4"/>
          <w:bottom w:val="single" w:color="000000" w:sz="4"/>
          <w:right w:val="single" w:color="000000" w:sz="4"/>
        </w:pBdr>
        <w:spacing w:before="0" w:after="4" w:line="267" w:lineRule="auto"/>
        <w:ind w:left="-4" w:right="0"/>
      </w:pPr>
      <w:r>
        <w:rPr/>
        <w:t xml:space="preserve">The project will be executed directly by UNDP and will be implemented under the overall guiding principle of national ownership and leadership in the electoral process. The international assistance provided should be considered as an extension of, and a complement to, national resources and is intended to support national management and coordination structures, in the spirit of the Joint Assistance Strategy for Tanzania (JAST). A dedicated Project Team (PT) will consist of the Project Manager to lead the team;</w:t>
      </w:r>
      <w:r>
        <w:rPr/>
        <w:t xml:space="preserve"> </w:t>
      </w:r>
      <w:r>
        <w:rPr/>
        <w:t xml:space="preserve">an Operations Manager will oversee and strengthen CO Operational (especially human resources and procurement) capacities for project delivery and results, and others to meet communications, transport, administration and logistical needs.  Various short and longer term technical experts will also be available for specific support to the national institutions.   </w:t>
      </w:r>
      <w:r>
        <w:rPr/>
        <w:t xml:space="preserve"> </w:t>
      </w:r>
    </w:p>
    <w:p>
      <w:pPr>
        <w:pBdr>
          <w:top w:val="single" w:color="000000" w:sz="4"/>
          <w:left w:val="single" w:color="000000" w:sz="4"/>
          <w:bottom w:val="single" w:color="000000" w:sz="4"/>
          <w:right w:val="single" w:color="000000" w:sz="4"/>
        </w:pBdr>
        <w:spacing w:before="0" w:after="0" w:line="259" w:lineRule="auto"/>
        <w:ind w:left="-14" w:right="0" w:firstLine="0"/>
        <w:jc w:val="left"/>
      </w:pPr>
      <w:r>
        <w:rPr/>
        <w:t xml:space="preserve"> </w:t>
      </w:r>
    </w:p>
    <w:p>
      <w:pPr>
        <w:spacing w:before="0" w:after="0" w:line="259" w:lineRule="auto"/>
        <w:ind w:left="1" w:right="0" w:firstLine="0"/>
        <w:jc w:val="left"/>
      </w:pPr>
      <w:r>
        <w:rPr>
          <w:rFonts w:cs="Calibri" w:hAnsi="Calibri" w:eastAsia="Calibri" w:ascii="Calibri"/>
          <w:b w:val="1"/>
        </w:rPr>
        <w:t xml:space="preserve"> </w:t>
      </w:r>
    </w:p>
    <w:tbl>
      <w:tblPr>
        <w:tblStyle w:val="TableGrid"/>
        <w:tblW w:w="8855" w:type="dxa"/>
        <w:tblInd w:w="-106" w:type="dxa"/>
        <w:tblCellMar>
          <w:top w:w="47" w:type="dxa"/>
          <w:left w:w="107" w:type="dxa"/>
          <w:bottom w:w="7" w:type="dxa"/>
          <w:right w:w="115" w:type="dxa"/>
        </w:tblCellMar>
      </w:tblPr>
      <w:tblGrid>
        <w:gridCol w:w="8855"/>
      </w:tblGrid>
      <w:tr>
        <w:trPr>
          <w:trHeight w:val="96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8" w:line="259" w:lineRule="auto"/>
              <w:ind w:left="0" w:right="0" w:firstLine="0"/>
              <w:jc w:val="left"/>
            </w:pPr>
            <w:r>
              <w:rPr>
                <w:rFonts w:cs="Calibri" w:hAnsi="Calibri" w:eastAsia="Calibri" w:ascii="Calibri"/>
                <w:b w:val="1"/>
              </w:rPr>
              <w:t xml:space="preserve">III. Functions / Key Results Expected</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i w:val="1"/>
              </w:rPr>
              <w:t xml:space="preserve"> </w:t>
            </w:r>
          </w:p>
        </w:tc>
      </w:tr>
      <w:tr>
        <w:trPr>
          <w:trHeight w:val="1890"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Summary of key functions:</w:t>
            </w:r>
            <w:r>
              <w:rPr>
                <w:rFonts w:cs="Calibri" w:hAnsi="Calibri" w:eastAsia="Calibri" w:ascii="Calibri"/>
                <w:b w:val="1"/>
              </w:rPr>
              <w:t xml:space="preserve"> </w:t>
            </w:r>
          </w:p>
          <w:p>
            <w:pPr>
              <w:spacing w:before="0" w:after="11" w:line="259" w:lineRule="auto"/>
              <w:ind w:left="0" w:right="0" w:firstLine="0"/>
              <w:jc w:val="left"/>
            </w:pPr>
            <w:r>
              <w:rPr>
                <w:rFonts w:cs="Calibri" w:hAnsi="Calibri" w:eastAsia="Calibri" w:ascii="Calibri"/>
                <w:b w:val="1"/>
              </w:rPr>
              <w:t xml:space="preserve"> </w:t>
            </w:r>
          </w:p>
          <w:p>
            <w:pPr>
              <w:numPr>
                <w:ilvl w:val="0"/>
                <w:numId w:val="48"/>
              </w:numPr>
              <w:spacing w:before="0" w:after="12" w:line="259" w:lineRule="auto"/>
              <w:ind w:left="720" w:right="0" w:hanging="288"/>
              <w:jc w:val="left"/>
            </w:pPr>
            <w:r>
              <w:rPr/>
              <w:t xml:space="preserve">Organization and management</w:t>
            </w:r>
            <w:r>
              <w:rPr/>
              <w:t xml:space="preserve"> </w:t>
            </w:r>
          </w:p>
          <w:p>
            <w:pPr>
              <w:numPr>
                <w:ilvl w:val="0"/>
                <w:numId w:val="48"/>
              </w:numPr>
              <w:spacing w:before="0" w:after="12" w:line="259" w:lineRule="auto"/>
              <w:ind w:left="720" w:right="0" w:hanging="288"/>
              <w:jc w:val="left"/>
            </w:pPr>
            <w:r>
              <w:rPr/>
              <w:t xml:space="preserve">Management for delivery of results</w:t>
            </w:r>
            <w:r>
              <w:rPr/>
              <w:t xml:space="preserve"> </w:t>
            </w:r>
          </w:p>
          <w:p>
            <w:pPr>
              <w:numPr>
                <w:ilvl w:val="0"/>
                <w:numId w:val="48"/>
              </w:numPr>
              <w:spacing w:before="0" w:after="12" w:line="259" w:lineRule="auto"/>
              <w:ind w:left="720" w:right="0" w:hanging="288"/>
              <w:jc w:val="left"/>
            </w:pPr>
            <w:r>
              <w:rPr/>
              <w:t xml:space="preserve">Capacity development for institutional reforms and development</w:t>
            </w:r>
            <w:r>
              <w:rPr/>
              <w:t xml:space="preserve"> </w:t>
            </w:r>
          </w:p>
          <w:p>
            <w:pPr>
              <w:numPr>
                <w:ilvl w:val="0"/>
                <w:numId w:val="48"/>
              </w:numPr>
              <w:spacing w:before="0" w:after="10" w:line="259" w:lineRule="auto"/>
              <w:ind w:left="720" w:right="0" w:hanging="288"/>
              <w:jc w:val="left"/>
            </w:pPr>
            <w:r>
              <w:rPr/>
              <w:t xml:space="preserve">Policy reforms and development services</w:t>
            </w:r>
            <w:r>
              <w:rPr/>
              <w:t xml:space="preserve"> </w:t>
            </w:r>
          </w:p>
          <w:p>
            <w:pPr>
              <w:numPr>
                <w:ilvl w:val="0"/>
                <w:numId w:val="48"/>
              </w:numPr>
              <w:spacing w:before="0" w:after="0" w:line="259" w:lineRule="auto"/>
              <w:ind w:left="720" w:right="0" w:hanging="288"/>
              <w:jc w:val="left"/>
            </w:pPr>
            <w:r>
              <w:rPr/>
              <w:t xml:space="preserve">Analytical national knowledge products</w:t>
            </w:r>
            <w:r>
              <w:rPr/>
              <w:t xml:space="preserve"> </w:t>
            </w:r>
          </w:p>
        </w:tc>
      </w:tr>
    </w:tbl>
    <w:p>
      <w:pPr>
        <w:spacing w:before="0" w:after="0" w:line="259" w:lineRule="auto"/>
        <w:ind w:left="1" w:right="0" w:firstLine="0"/>
        <w:jc w:val="left"/>
      </w:pPr>
      <w:r>
        <w:rPr>
          <w:rFonts w:cs="Arial" w:hAnsi="Arial" w:eastAsia="Arial" w:ascii="Arial"/>
          <w:b w:val="1"/>
          <w:strike w:val="1"/>
          <w:dstrike w:val="0"/>
        </w:rPr>
        <w:t xml:space="preserve">                                              </w:t>
      </w:r>
      <w:r>
        <w:rPr>
          <w:rFonts w:cs="Arial" w:hAnsi="Arial" w:eastAsia="Arial" w:ascii="Arial"/>
          <w:b w:val="1"/>
        </w:rPr>
        <w:t xml:space="preserve"> </w:t>
      </w:r>
    </w:p>
    <w:p>
      <w:pPr>
        <w:spacing w:before="0" w:after="0" w:line="259" w:lineRule="auto"/>
        <w:ind w:left="1" w:right="0" w:firstLine="0"/>
        <w:jc w:val="left"/>
      </w:pPr>
      <w:r>
        <w:rPr>
          <w:rFonts w:cs="Arial" w:hAnsi="Arial" w:eastAsia="Arial" w:ascii="Arial"/>
          <w:b w:val="1"/>
          <w:sz w:val="20"/>
        </w:rPr>
        <w:t xml:space="preserve"> </w:t>
      </w:r>
    </w:p>
    <w:tbl>
      <w:tblPr>
        <w:tblStyle w:val="TableGrid"/>
        <w:tblW w:w="8858" w:type="dxa"/>
        <w:tblInd w:w="-107" w:type="dxa"/>
        <w:tblCellMar>
          <w:top w:w="45" w:type="dxa"/>
          <w:left w:w="108" w:type="dxa"/>
          <w:bottom w:w="0" w:type="dxa"/>
          <w:right w:w="60" w:type="dxa"/>
        </w:tblCellMar>
      </w:tblPr>
      <w:tblGrid>
        <w:gridCol w:w="8858"/>
      </w:tblGrid>
      <w:tr>
        <w:trPr>
          <w:trHeight w:val="1085" w:hRule="atLeast"/>
        </w:trPr>
        <w:tc>
          <w:tcPr>
            <w:tcW w:w="8858" w:type="dxa"/>
            <w:tcBorders>
              <w:top w:val="single" w:sz="4" w:color="000000"/>
              <w:left w:val="single" w:sz="4" w:color="000000"/>
              <w:bottom w:val="single" w:sz="4" w:color="000000"/>
              <w:right w:val="single" w:sz="4" w:color="000000"/>
            </w:tcBorders>
            <w:vAlign w:val="top"/>
          </w:tcPr>
          <w:p>
            <w:pPr>
              <w:numPr>
                <w:ilvl w:val="0"/>
                <w:numId w:val="49"/>
              </w:numPr>
              <w:spacing w:before="0" w:after="12" w:line="259" w:lineRule="auto"/>
              <w:ind w:left="720" w:right="0" w:hanging="288"/>
              <w:jc w:val="left"/>
            </w:pPr>
            <w:r>
              <w:rPr/>
              <w:t xml:space="preserve">Advocacy, networking and marketing</w:t>
            </w:r>
            <w:r>
              <w:rPr/>
              <w:t xml:space="preserve"> </w:t>
            </w:r>
          </w:p>
          <w:p>
            <w:pPr>
              <w:numPr>
                <w:ilvl w:val="0"/>
                <w:numId w:val="49"/>
              </w:numPr>
              <w:spacing w:before="0" w:after="12" w:line="259" w:lineRule="auto"/>
              <w:ind w:left="720" w:right="0" w:hanging="288"/>
              <w:jc w:val="left"/>
            </w:pPr>
            <w:r>
              <w:rPr/>
              <w:t xml:space="preserve">Partnerships and resource mobilization</w:t>
            </w:r>
            <w:r>
              <w:rPr/>
              <w:t xml:space="preserve"> </w:t>
            </w:r>
          </w:p>
          <w:p>
            <w:pPr>
              <w:numPr>
                <w:ilvl w:val="0"/>
                <w:numId w:val="49"/>
              </w:numPr>
              <w:spacing w:before="0" w:after="0" w:line="259" w:lineRule="auto"/>
              <w:ind w:left="720" w:right="0" w:hanging="288"/>
              <w:jc w:val="left"/>
            </w:pPr>
            <w:r>
              <w:rPr/>
              <w:t xml:space="preserve">Coordination and recommendations</w:t>
            </w:r>
            <w:r>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3058" w:hRule="atLeast"/>
        </w:trPr>
        <w:tc>
          <w:tcPr>
            <w:tcW w:w="8858"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1. General Duties and Responsibilities</w:t>
            </w:r>
            <w:r>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121" w:line="275" w:lineRule="auto"/>
              <w:ind w:left="0" w:right="0" w:firstLine="0"/>
              <w:jc w:val="left"/>
            </w:pPr>
            <w:r>
              <w:rPr/>
              <w:t xml:space="preserve">Under the direct supervision of the DCD</w:t>
            </w:r>
            <w:r>
              <w:rPr/>
              <w:t xml:space="preserve">-</w:t>
            </w:r>
            <w:r>
              <w:rPr/>
              <w:t xml:space="preserve">P, and working closely with the CTA, the Project Manager (PM) will provide overall organizational, coordination and managerial support for the project and act as day</w:t>
            </w:r>
            <w:r>
              <w:rPr/>
              <w:t xml:space="preserve">-</w:t>
            </w:r>
            <w:r>
              <w:rPr/>
              <w:t xml:space="preserve">to</w:t>
            </w:r>
            <w:r>
              <w:rPr/>
              <w:t xml:space="preserve">-</w:t>
            </w:r>
            <w:r>
              <w:rPr/>
              <w:t xml:space="preserve">day officer</w:t>
            </w:r>
            <w:r>
              <w:rPr/>
              <w:t xml:space="preserve">-</w:t>
            </w:r>
            <w:r>
              <w:rPr/>
              <w:t xml:space="preserve">in</w:t>
            </w:r>
            <w:r>
              <w:rPr/>
              <w:t xml:space="preserve">-</w:t>
            </w:r>
            <w:r>
              <w:rPr/>
              <w:t xml:space="preserve">charge. She/he will ensure the strategic direction of project operations, supervise and coordinate the activities of the Project Team, assess work plans and monitor outputs.  The PM will also be responsible for managing human resources, assessing performance and managing financial systems and audit procedures.  </w:t>
            </w:r>
            <w:r>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7086" w:hRule="atLeast"/>
        </w:trPr>
        <w:tc>
          <w:tcPr>
            <w:tcW w:w="8858" w:type="dxa"/>
            <w:tcBorders>
              <w:top w:val="single" w:sz="4" w:color="000000"/>
              <w:left w:val="single" w:sz="4" w:color="000000"/>
              <w:bottom w:val="single" w:sz="4" w:color="000000"/>
              <w:right w:val="single" w:sz="4" w:color="000000"/>
            </w:tcBorders>
            <w:vAlign w:val="top"/>
          </w:tcPr>
          <w:p>
            <w:pPr>
              <w:spacing w:before="0" w:after="24" w:line="259" w:lineRule="auto"/>
              <w:ind w:left="0" w:right="0" w:firstLine="0"/>
              <w:jc w:val="left"/>
            </w:pPr>
            <w:r>
              <w:rPr>
                <w:rFonts w:cs="Calibri" w:hAnsi="Calibri" w:eastAsia="Calibri" w:ascii="Calibri"/>
                <w:b w:val="1"/>
              </w:rPr>
              <w:t xml:space="preserve">Managerial and Organizational:</w:t>
            </w:r>
            <w:r>
              <w:rPr/>
              <w:t xml:space="preserve"> </w:t>
            </w:r>
          </w:p>
          <w:p>
            <w:pPr>
              <w:numPr>
                <w:ilvl w:val="0"/>
                <w:numId w:val="50"/>
              </w:numPr>
              <w:spacing w:before="0" w:after="48" w:line="237" w:lineRule="auto"/>
              <w:ind w:left="720" w:right="0" w:hanging="360"/>
              <w:jc w:val="left"/>
            </w:pPr>
            <w:r>
              <w:rPr/>
              <w:t xml:space="preserve">Overall responsible for ensuring that the project is in compliance with UNDP guidelines and procedures for financial management, accountability and reporting.</w:t>
            </w:r>
            <w:r>
              <w:rPr/>
              <w:t xml:space="preserve"> </w:t>
            </w:r>
          </w:p>
          <w:p>
            <w:pPr>
              <w:numPr>
                <w:ilvl w:val="0"/>
                <w:numId w:val="50"/>
              </w:numPr>
              <w:spacing w:before="0" w:after="46" w:line="240" w:lineRule="auto"/>
              <w:ind w:left="720" w:right="0" w:hanging="360"/>
              <w:jc w:val="left"/>
            </w:pPr>
            <w:r>
              <w:rPr/>
              <w:t xml:space="preserve">Perform the Manager Level 2 function in Atlas by approving payments and Purchase Orders up to $30,000 and ensuring due process has been followed.</w:t>
            </w:r>
            <w:r>
              <w:rPr/>
              <w:t xml:space="preserve"> </w:t>
            </w:r>
          </w:p>
          <w:p>
            <w:pPr>
              <w:numPr>
                <w:ilvl w:val="0"/>
                <w:numId w:val="50"/>
              </w:numPr>
              <w:spacing w:before="0" w:after="46" w:line="240" w:lineRule="auto"/>
              <w:ind w:left="720" w:right="0" w:hanging="360"/>
              <w:jc w:val="left"/>
            </w:pPr>
            <w:r>
              <w:rPr/>
              <w:t xml:space="preserve">Finalize project organizational structure and plan, including distribution of functions and responsibilities, decision</w:t>
            </w:r>
            <w:r>
              <w:rPr/>
              <w:t xml:space="preserve">-</w:t>
            </w:r>
            <w:r>
              <w:rPr/>
              <w:t xml:space="preserve">making processes and relevant institutional arrangements.</w:t>
            </w:r>
            <w:r>
              <w:rPr/>
              <w:t xml:space="preserve"> </w:t>
            </w:r>
          </w:p>
          <w:p>
            <w:pPr>
              <w:numPr>
                <w:ilvl w:val="0"/>
                <w:numId w:val="50"/>
              </w:numPr>
              <w:spacing w:before="0" w:after="0" w:line="259" w:lineRule="auto"/>
              <w:ind w:left="720" w:right="0" w:hanging="360"/>
              <w:jc w:val="left"/>
            </w:pPr>
            <w:r>
              <w:rPr/>
              <w:t xml:space="preserve">Ensure the preparation and submission of high quality annual work plans</w:t>
            </w:r>
            <w:r>
              <w:rPr/>
              <w:t xml:space="preserve"> </w:t>
            </w:r>
          </w:p>
          <w:p>
            <w:pPr>
              <w:numPr>
                <w:ilvl w:val="0"/>
                <w:numId w:val="50"/>
              </w:numPr>
              <w:spacing w:before="0" w:after="46" w:line="240" w:lineRule="auto"/>
              <w:ind w:left="720" w:right="0" w:hanging="360"/>
              <w:jc w:val="left"/>
            </w:pPr>
            <w:r>
              <w:rPr/>
              <w:t xml:space="preserve">Based on the annual</w:t>
            </w:r>
            <w:r>
              <w:rPr/>
              <w:t xml:space="preserve"> </w:t>
            </w:r>
            <w:r>
              <w:rPr/>
              <w:t xml:space="preserve">work plan, prepare results framework for each output and establish performance and results reporting. Ensure the establishment and regular monitoring of the project M&amp;E framework, risk log, issues log, and quality log.</w:t>
            </w:r>
            <w:r>
              <w:rPr/>
              <w:t xml:space="preserve"> </w:t>
            </w:r>
          </w:p>
          <w:p>
            <w:pPr>
              <w:numPr>
                <w:ilvl w:val="0"/>
                <w:numId w:val="50"/>
              </w:numPr>
              <w:spacing w:before="0" w:after="46" w:line="239" w:lineRule="auto"/>
              <w:ind w:left="720" w:right="0" w:hanging="360"/>
              <w:jc w:val="left"/>
            </w:pPr>
            <w:r>
              <w:rPr/>
              <w:t xml:space="preserve">Supervise and facilitate the day</w:t>
            </w:r>
            <w:r>
              <w:rPr/>
              <w:t xml:space="preserve">-</w:t>
            </w:r>
            <w:r>
              <w:rPr/>
              <w:t xml:space="preserve">to</w:t>
            </w:r>
            <w:r>
              <w:rPr/>
              <w:t xml:space="preserve">-</w:t>
            </w:r>
            <w:r>
              <w:rPr/>
              <w:t xml:space="preserve">day functioning of the Project Team and manage financial resources for achieving results outlined in the Democratic Empowerment Project document and Annual Work Plan;</w:t>
            </w:r>
            <w:r>
              <w:rPr/>
              <w:t xml:space="preserve"> </w:t>
            </w:r>
          </w:p>
          <w:p>
            <w:pPr>
              <w:numPr>
                <w:ilvl w:val="0"/>
                <w:numId w:val="50"/>
              </w:numPr>
              <w:spacing w:before="0" w:after="48" w:line="237" w:lineRule="auto"/>
              <w:ind w:left="720" w:right="0" w:hanging="360"/>
              <w:jc w:val="left"/>
            </w:pPr>
            <w:r>
              <w:rPr/>
              <w:t xml:space="preserve">Overall responsibility for the timely and effective procurement of project materials and resources and services; </w:t>
            </w:r>
            <w:r>
              <w:rPr/>
              <w:t xml:space="preserve"> </w:t>
            </w:r>
          </w:p>
          <w:p>
            <w:pPr>
              <w:numPr>
                <w:ilvl w:val="0"/>
                <w:numId w:val="50"/>
              </w:numPr>
              <w:spacing w:before="0" w:after="15" w:line="240" w:lineRule="auto"/>
              <w:ind w:left="720" w:right="0" w:hanging="360"/>
              <w:jc w:val="left"/>
            </w:pPr>
            <w:r>
              <w:rPr/>
              <w:t xml:space="preserve">Coordinate the implementation of activities envisaged under the  DEP and provide strategic guidance to operations, and make programmatic and operational decisions;</w:t>
            </w:r>
            <w:r>
              <w:rPr/>
              <w:t xml:space="preserve"> </w:t>
            </w:r>
          </w:p>
          <w:p>
            <w:pPr>
              <w:numPr>
                <w:ilvl w:val="0"/>
                <w:numId w:val="50"/>
              </w:numPr>
              <w:spacing w:before="0" w:after="0" w:line="259" w:lineRule="auto"/>
              <w:ind w:left="720" w:right="0" w:hanging="360"/>
              <w:jc w:val="left"/>
            </w:pPr>
            <w:r>
              <w:rPr/>
              <w:t xml:space="preserve">Ensure the compliance of project implementation with UNDP rules, regulations and </w:t>
            </w:r>
          </w:p>
          <w:p>
            <w:pPr>
              <w:spacing w:before="0" w:after="0" w:line="259" w:lineRule="auto"/>
              <w:ind w:left="720" w:right="0" w:firstLine="0"/>
              <w:jc w:val="left"/>
            </w:pPr>
            <w:r>
              <w:rPr/>
              <w:t xml:space="preserve">policies;</w:t>
            </w:r>
            <w:r>
              <w:rPr/>
              <w:t xml:space="preserve"> </w:t>
            </w:r>
          </w:p>
          <w:p>
            <w:pPr>
              <w:numPr>
                <w:ilvl w:val="0"/>
                <w:numId w:val="50"/>
              </w:numPr>
              <w:spacing w:before="0" w:after="14" w:line="240" w:lineRule="auto"/>
              <w:ind w:left="720" w:right="0" w:hanging="360"/>
              <w:jc w:val="left"/>
            </w:pPr>
            <w:r>
              <w:rPr/>
              <w:t xml:space="preserve">Oversee project procurement, finance, and HR matters and bring any issues to the attention of the OM;</w:t>
            </w:r>
            <w:r>
              <w:rPr/>
              <w:t xml:space="preserve"> </w:t>
            </w:r>
          </w:p>
          <w:p>
            <w:pPr>
              <w:numPr>
                <w:ilvl w:val="0"/>
                <w:numId w:val="50"/>
              </w:numPr>
              <w:spacing w:before="0" w:after="17" w:line="237" w:lineRule="auto"/>
              <w:ind w:left="720" w:right="0" w:hanging="360"/>
              <w:jc w:val="left"/>
            </w:pPr>
            <w:r>
              <w:rPr/>
              <w:t xml:space="preserve">Contribute to drafting reports, including monthly, quarterly and annual reports on project activities, memos, minutes of meetings,</w:t>
            </w:r>
            <w:r>
              <w:rPr/>
              <w:t xml:space="preserve"> </w:t>
            </w:r>
            <w:r>
              <w:rPr/>
              <w:t xml:space="preserve">etc;</w:t>
            </w:r>
            <w:r>
              <w:rPr/>
              <w:t xml:space="preserve"> </w:t>
            </w:r>
          </w:p>
          <w:p>
            <w:pPr>
              <w:numPr>
                <w:ilvl w:val="0"/>
                <w:numId w:val="50"/>
              </w:numPr>
              <w:spacing w:before="0" w:after="0" w:line="259" w:lineRule="auto"/>
              <w:ind w:left="720" w:right="0" w:hanging="360"/>
              <w:jc w:val="left"/>
            </w:pPr>
            <w:r>
              <w:rPr/>
              <w:t xml:space="preserve">Facilitate capacity building in the Project </w:t>
            </w:r>
            <w:r>
              <w:rPr/>
              <w:t xml:space="preserve"> </w:t>
            </w:r>
          </w:p>
          <w:p>
            <w:pPr>
              <w:numPr>
                <w:ilvl w:val="0"/>
                <w:numId w:val="50"/>
              </w:numPr>
              <w:spacing w:before="0" w:after="0" w:line="259" w:lineRule="auto"/>
              <w:ind w:left="720" w:right="0" w:hanging="360"/>
              <w:jc w:val="left"/>
            </w:pPr>
            <w:r>
              <w:rPr/>
              <w:t xml:space="preserve">Perform other tasks and duties as requested by the supervisor.</w:t>
            </w:r>
            <w:r>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7" w:type="dxa"/>
          <w:right w:w="59" w:type="dxa"/>
        </w:tblCellMar>
      </w:tblPr>
      <w:tblGrid>
        <w:gridCol w:w="8855"/>
      </w:tblGrid>
      <w:tr>
        <w:trPr>
          <w:trHeight w:val="696"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0" w:line="259" w:lineRule="auto"/>
              <w:ind w:left="0" w:right="0" w:firstLine="0"/>
              <w:jc w:val="left"/>
            </w:pPr>
            <w:r>
              <w:rPr>
                <w:rFonts w:cs="Calibri" w:hAnsi="Calibri" w:eastAsia="Calibri" w:ascii="Calibri"/>
                <w:b w:val="1"/>
              </w:rPr>
              <w:t xml:space="preserve">IV. Impact of Results </w:t>
            </w:r>
            <w:r>
              <w:rPr>
                <w:rFonts w:cs="Calibri" w:hAnsi="Calibri" w:eastAsia="Calibri" w:ascii="Calibri"/>
                <w:b w:val="1"/>
              </w:rPr>
              <w:t xml:space="preserve"> </w:t>
            </w:r>
          </w:p>
        </w:tc>
      </w:tr>
      <w:tr>
        <w:trPr>
          <w:trHeight w:val="1516" w:hRule="atLeast"/>
        </w:trPr>
        <w:tc>
          <w:tcPr>
            <w:tcW w:w="8855" w:type="dxa"/>
            <w:tcBorders>
              <w:top w:val="single" w:sz="4" w:color="000000"/>
              <w:left w:val="single" w:sz="4" w:color="000000"/>
              <w:bottom w:val="single" w:sz="4" w:color="000000"/>
              <w:right w:val="single" w:sz="4" w:color="000000"/>
            </w:tcBorders>
            <w:vAlign w:val="top"/>
          </w:tcPr>
          <w:p>
            <w:pPr>
              <w:spacing w:before="0" w:after="1" w:line="275" w:lineRule="auto"/>
              <w:ind w:left="0" w:right="48" w:firstLine="0"/>
            </w:pPr>
            <w:r>
              <w:rPr/>
              <w:t xml:space="preserve">The key results of the post will contribute to the UN’s efforts to consolidating democratic structures and systems of good governance in Tanzania by strengthening political, civil society and electoral systems that enhance effective participation, representation and greater political tolerance.</w:t>
            </w:r>
            <w:r>
              <w:rPr/>
              <w:t xml:space="preserve"> </w:t>
            </w:r>
          </w:p>
          <w:p>
            <w:pPr>
              <w:spacing w:before="0" w:after="0" w:line="259" w:lineRule="auto"/>
              <w:ind w:left="0" w:right="0" w:firstLine="0"/>
              <w:jc w:val="left"/>
            </w:pPr>
            <w:r>
              <w:rPr>
                <w:rFonts w:cs="Calibri" w:hAnsi="Calibri" w:eastAsia="Calibri" w:ascii="Calibri"/>
                <w:b w:val="1"/>
              </w:rPr>
              <w:t xml:space="preserve"> </w:t>
            </w:r>
          </w:p>
        </w:tc>
      </w:tr>
    </w:tbl>
    <w:tbl>
      <w:tblPr>
        <w:tblStyle w:val="TableGrid"/>
        <w:tblW w:w="8855" w:type="dxa"/>
        <w:tblInd w:w="-106" w:type="dxa"/>
        <w:tblCellMar>
          <w:top w:w="47" w:type="dxa"/>
          <w:left w:w="107" w:type="dxa"/>
          <w:bottom w:w="7" w:type="dxa"/>
          <w:right w:w="59" w:type="dxa"/>
        </w:tblCellMar>
      </w:tblPr>
      <w:tblGrid>
        <w:gridCol w:w="8855"/>
      </w:tblGrid>
      <w:tr>
        <w:trPr>
          <w:trHeight w:val="96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8" w:line="259" w:lineRule="auto"/>
              <w:ind w:left="0" w:right="0" w:firstLine="0"/>
              <w:jc w:val="left"/>
            </w:pPr>
            <w:r>
              <w:rPr>
                <w:rFonts w:cs="Calibri" w:hAnsi="Calibri" w:eastAsia="Calibri" w:ascii="Calibri"/>
                <w:b w:val="1"/>
              </w:rPr>
              <w:t xml:space="preserve">V. Competencies </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tc>
      </w:tr>
      <w:tr>
        <w:trPr>
          <w:trHeight w:val="8249" w:hRule="atLeast"/>
        </w:trPr>
        <w:tc>
          <w:tcPr>
            <w:tcW w:w="8855" w:type="dxa"/>
            <w:tcBorders>
              <w:top w:val="single" w:sz="4" w:color="000000"/>
              <w:left w:val="single" w:sz="4" w:color="000000"/>
              <w:bottom w:val="single" w:sz="4" w:color="000000"/>
              <w:right w:val="single" w:sz="4" w:color="000000"/>
            </w:tcBorders>
            <w:vAlign w:val="top"/>
          </w:tcPr>
          <w:p>
            <w:pPr>
              <w:spacing w:before="0" w:after="24" w:line="259" w:lineRule="auto"/>
              <w:ind w:left="0" w:right="0" w:firstLine="0"/>
              <w:jc w:val="left"/>
            </w:pPr>
            <w:r>
              <w:rPr>
                <w:rFonts w:cs="Calibri" w:hAnsi="Calibri" w:eastAsia="Calibri" w:ascii="Calibri"/>
                <w:b w:val="1"/>
              </w:rPr>
              <w:t xml:space="preserve">Corporate Competencies:</w:t>
            </w:r>
            <w:r>
              <w:rPr/>
              <w:t xml:space="preserve"> </w:t>
            </w:r>
          </w:p>
          <w:p>
            <w:pPr>
              <w:numPr>
                <w:ilvl w:val="0"/>
                <w:numId w:val="51"/>
              </w:numPr>
              <w:spacing w:before="0" w:after="0" w:line="258" w:lineRule="auto"/>
              <w:ind w:left="720" w:right="0" w:hanging="360"/>
              <w:jc w:val="left"/>
            </w:pPr>
            <w:r>
              <w:rPr/>
              <w:t xml:space="preserve">Demonstrates integrity by modeling the UN’s values and ethical standards; </w:t>
            </w:r>
            <w:r>
              <w:rPr/>
              <w:t xml:space="preserve"> </w:t>
            </w:r>
            <w:r>
              <w:rPr>
                <w:rFonts w:cs="Segoe UI Symbol" w:hAnsi="Segoe UI Symbol" w:eastAsia="Segoe UI Symbol" w:ascii="Segoe UI Symbol"/>
              </w:rPr>
              <w:t xml:space="preserve"></w:t>
            </w:r>
            <w:r>
              <w:rPr>
                <w:rFonts w:cs="Arial" w:hAnsi="Arial" w:eastAsia="Arial" w:ascii="Arial"/>
              </w:rPr>
              <w:t xml:space="preserve"> 	</w:t>
            </w:r>
            <w:r>
              <w:rPr/>
              <w:t xml:space="preserve">Promotes the vision, mission, and strategic goals of the project.  </w:t>
            </w:r>
            <w:r>
              <w:rPr/>
              <w:t xml:space="preserve"> </w:t>
            </w:r>
          </w:p>
          <w:p>
            <w:pPr>
              <w:numPr>
                <w:ilvl w:val="0"/>
                <w:numId w:val="51"/>
              </w:numPr>
              <w:spacing w:before="0" w:after="0" w:line="251" w:lineRule="auto"/>
              <w:ind w:left="720" w:right="0" w:hanging="360"/>
              <w:jc w:val="left"/>
            </w:pPr>
            <w:r>
              <w:rPr/>
              <w:t xml:space="preserve">Displays cultural, gender, religion, race, nationality and age sensitivity and adaptability; </w:t>
            </w:r>
            <w:r>
              <w:rPr/>
              <w:t xml:space="preserve"> </w:t>
            </w:r>
            <w:r>
              <w:rPr>
                <w:rFonts w:cs="Segoe UI Symbol" w:hAnsi="Segoe UI Symbol" w:eastAsia="Segoe UI Symbol" w:ascii="Segoe UI Symbol"/>
                <w:sz w:val="20"/>
              </w:rPr>
              <w:t xml:space="preserve"></w:t>
            </w:r>
            <w:r>
              <w:rPr>
                <w:rFonts w:cs="Arial" w:hAnsi="Arial" w:eastAsia="Arial" w:ascii="Arial"/>
                <w:sz w:val="20"/>
              </w:rPr>
              <w:t xml:space="preserve"> 	</w:t>
            </w:r>
            <w:r>
              <w:rPr/>
              <w:t xml:space="preserve">Treats all people fairly and without favoritism. </w:t>
            </w:r>
            <w:r>
              <w:rPr/>
              <w:t xml:space="preserve"> </w:t>
            </w:r>
          </w:p>
          <w:p>
            <w:pPr>
              <w:spacing w:before="0" w:after="0" w:line="259" w:lineRule="auto"/>
              <w:ind w:left="0" w:right="0" w:firstLine="0"/>
              <w:jc w:val="left"/>
            </w:pPr>
            <w:r>
              <w:rPr/>
              <w:t xml:space="preserve"> </w:t>
            </w:r>
          </w:p>
          <w:p>
            <w:pPr>
              <w:spacing w:before="0" w:after="98" w:line="259" w:lineRule="auto"/>
              <w:ind w:left="0" w:right="0" w:firstLine="0"/>
              <w:jc w:val="left"/>
            </w:pPr>
            <w:r>
              <w:rPr>
                <w:rFonts w:cs="Calibri" w:hAnsi="Calibri" w:eastAsia="Calibri" w:ascii="Calibri"/>
                <w:b w:val="1"/>
              </w:rPr>
              <w:t xml:space="preserve">Functional Competencies:</w:t>
            </w:r>
            <w:r>
              <w:rPr>
                <w:rFonts w:cs="Calibri" w:hAnsi="Calibri" w:eastAsia="Calibri" w:ascii="Calibri"/>
                <w:b w:val="1"/>
              </w:rPr>
              <w:t xml:space="preserve"> </w:t>
            </w:r>
          </w:p>
          <w:p>
            <w:pPr>
              <w:spacing w:before="0" w:after="38" w:line="259" w:lineRule="auto"/>
              <w:ind w:left="0" w:right="0" w:firstLine="0"/>
              <w:jc w:val="left"/>
            </w:pPr>
            <w:r>
              <w:rPr>
                <w:rFonts w:cs="Calibri" w:hAnsi="Calibri" w:eastAsia="Calibri" w:ascii="Calibri"/>
                <w:b w:val="1"/>
              </w:rPr>
              <w:t xml:space="preserve">Technical Expertise</w:t>
            </w:r>
            <w:r>
              <w:rPr>
                <w:rFonts w:cs="Calibri" w:hAnsi="Calibri" w:eastAsia="Calibri" w:ascii="Calibri"/>
                <w:b w:val="1"/>
              </w:rPr>
              <w:t xml:space="preserve"> </w:t>
            </w:r>
          </w:p>
          <w:p>
            <w:pPr>
              <w:spacing w:before="0" w:after="24" w:line="259" w:lineRule="auto"/>
              <w:ind w:left="0" w:right="0" w:firstLine="0"/>
              <w:jc w:val="left"/>
            </w:pPr>
            <w:r>
              <w:rPr>
                <w:rFonts w:cs="Calibri" w:hAnsi="Calibri" w:eastAsia="Calibri" w:ascii="Calibri"/>
                <w:b w:val="1"/>
              </w:rPr>
              <w:t xml:space="preserve"> </w:t>
            </w:r>
          </w:p>
          <w:p>
            <w:pPr>
              <w:numPr>
                <w:ilvl w:val="0"/>
                <w:numId w:val="51"/>
              </w:numPr>
              <w:spacing w:before="0" w:after="0" w:line="259" w:lineRule="auto"/>
              <w:ind w:left="720" w:right="0" w:hanging="360"/>
              <w:jc w:val="left"/>
            </w:pPr>
            <w:r>
              <w:rPr/>
              <w:t xml:space="preserve">Experience as an elections project manager for the UN in a developing country</w:t>
            </w:r>
            <w:r>
              <w:rPr/>
              <w:t xml:space="preserve">.</w:t>
            </w:r>
            <w:r>
              <w:rPr/>
              <w:t xml:space="preserve"> </w:t>
            </w:r>
          </w:p>
          <w:p>
            <w:pPr>
              <w:numPr>
                <w:ilvl w:val="0"/>
                <w:numId w:val="51"/>
              </w:numPr>
              <w:spacing w:before="0" w:after="43" w:line="240" w:lineRule="auto"/>
              <w:ind w:left="720" w:right="0" w:hanging="360"/>
              <w:jc w:val="left"/>
            </w:pPr>
            <w:r>
              <w:rPr/>
              <w:t xml:space="preserve">Theoretical and practical knowledge of inter</w:t>
            </w:r>
            <w:r>
              <w:rPr/>
              <w:t xml:space="preserve">-</w:t>
            </w:r>
            <w:r>
              <w:rPr/>
              <w:t xml:space="preserve">disciplinary development, education and communication.</w:t>
            </w:r>
            <w:r>
              <w:rPr/>
              <w:t xml:space="preserve"> </w:t>
            </w:r>
          </w:p>
          <w:p>
            <w:pPr>
              <w:numPr>
                <w:ilvl w:val="0"/>
                <w:numId w:val="51"/>
              </w:numPr>
              <w:spacing w:before="0" w:after="0" w:line="240" w:lineRule="auto"/>
              <w:ind w:left="720" w:right="0" w:hanging="360"/>
              <w:jc w:val="left"/>
            </w:pPr>
            <w:r>
              <w:rPr/>
              <w:t xml:space="preserve">Strong understanding of dynamics in government, civil society and the donor community in developing countries</w:t>
            </w:r>
            <w:r>
              <w:rPr/>
              <w:t xml:space="preserve"> </w:t>
            </w:r>
          </w:p>
          <w:p>
            <w:pPr>
              <w:spacing w:before="0" w:after="98" w:line="259" w:lineRule="auto"/>
              <w:ind w:left="0" w:right="0" w:firstLine="0"/>
              <w:jc w:val="left"/>
            </w:pPr>
            <w:r>
              <w:rPr>
                <w:rFonts w:cs="Calibri" w:hAnsi="Calibri" w:eastAsia="Calibri" w:ascii="Calibri"/>
                <w:b w:val="1"/>
              </w:rPr>
              <w:t xml:space="preserve"> </w:t>
            </w:r>
          </w:p>
          <w:p>
            <w:pPr>
              <w:spacing w:before="0" w:after="113" w:line="259" w:lineRule="auto"/>
              <w:ind w:left="0" w:right="0" w:firstLine="0"/>
              <w:jc w:val="left"/>
            </w:pPr>
            <w:r>
              <w:rPr>
                <w:rFonts w:cs="Calibri" w:hAnsi="Calibri" w:eastAsia="Calibri" w:ascii="Calibri"/>
                <w:b w:val="1"/>
              </w:rPr>
              <w:t xml:space="preserve">Knowledge, management and Learning</w:t>
            </w:r>
            <w:r>
              <w:rPr>
                <w:rFonts w:cs="Calibri" w:hAnsi="Calibri" w:eastAsia="Calibri" w:ascii="Calibri"/>
                <w:b w:val="1"/>
              </w:rPr>
              <w:t xml:space="preserve">   </w:t>
            </w:r>
          </w:p>
          <w:p>
            <w:pPr>
              <w:numPr>
                <w:ilvl w:val="0"/>
                <w:numId w:val="51"/>
              </w:numPr>
              <w:spacing w:before="0" w:after="15" w:line="240" w:lineRule="auto"/>
              <w:ind w:left="720" w:right="0" w:hanging="360"/>
              <w:jc w:val="left"/>
            </w:pPr>
            <w:r>
              <w:rPr/>
              <w:t xml:space="preserve">Promotes knowledge management in UNDP and a learning environment in the office through mentoring and personal example;</w:t>
            </w:r>
            <w:r>
              <w:rPr/>
              <w:t xml:space="preserve"> </w:t>
            </w:r>
          </w:p>
          <w:p>
            <w:pPr>
              <w:numPr>
                <w:ilvl w:val="0"/>
                <w:numId w:val="51"/>
              </w:numPr>
              <w:spacing w:before="0" w:after="121" w:line="239" w:lineRule="auto"/>
              <w:ind w:left="720" w:right="0" w:hanging="360"/>
              <w:jc w:val="left"/>
            </w:pPr>
            <w:r>
              <w:rPr/>
              <w:t xml:space="preserve">Promotes knowledge</w:t>
            </w:r>
            <w:r>
              <w:rPr/>
              <w:t xml:space="preserve"> </w:t>
            </w:r>
            <w:r>
              <w:rPr/>
              <w:t xml:space="preserve">building and sharing with regards to management and operations</w:t>
            </w:r>
            <w:r>
              <w:rPr/>
              <w:t xml:space="preserve">, </w:t>
            </w:r>
            <w:r>
              <w:rPr/>
              <w:t xml:space="preserve">organization</w:t>
            </w:r>
            <w:r>
              <w:rPr/>
              <w:t xml:space="preserve"> </w:t>
            </w:r>
            <w:r>
              <w:rPr/>
              <w:t xml:space="preserve">of project staff trainings,</w:t>
            </w:r>
            <w:r>
              <w:rPr/>
              <w:t xml:space="preserve"> </w:t>
            </w:r>
            <w:r>
              <w:rPr/>
              <w:t xml:space="preserve">synthesis</w:t>
            </w:r>
            <w:r>
              <w:rPr/>
              <w:t xml:space="preserve"> </w:t>
            </w:r>
            <w:r>
              <w:rPr/>
              <w:t xml:space="preserve">of</w:t>
            </w:r>
            <w:r>
              <w:rPr/>
              <w:t xml:space="preserve"> </w:t>
            </w:r>
            <w:r>
              <w:rPr/>
              <w:t xml:space="preserve">lessons learnt/best practices and sound contributions to UNDP knowledge networks and communities of practice.</w:t>
            </w:r>
            <w:r>
              <w:rPr/>
              <w:t xml:space="preserve"> </w:t>
            </w:r>
          </w:p>
          <w:p>
            <w:pPr>
              <w:spacing w:before="0" w:after="84" w:line="259" w:lineRule="auto"/>
              <w:ind w:left="0" w:right="0" w:firstLine="0"/>
              <w:jc w:val="left"/>
            </w:pPr>
            <w:r>
              <w:rPr>
                <w:rFonts w:cs="Calibri" w:hAnsi="Calibri" w:eastAsia="Calibri" w:ascii="Calibri"/>
                <w:b w:val="1"/>
              </w:rPr>
              <w:t xml:space="preserve">Management and Leadership</w:t>
            </w:r>
            <w:r>
              <w:rPr>
                <w:rFonts w:cs="Calibri" w:hAnsi="Calibri" w:eastAsia="Calibri" w:ascii="Calibri"/>
                <w:b w:val="1"/>
              </w:rPr>
              <w:t xml:space="preserve"> </w:t>
            </w:r>
          </w:p>
          <w:p>
            <w:pPr>
              <w:numPr>
                <w:ilvl w:val="0"/>
                <w:numId w:val="51"/>
              </w:numPr>
              <w:spacing w:before="0" w:after="0" w:line="259" w:lineRule="auto"/>
              <w:ind w:left="720" w:right="0" w:hanging="360"/>
              <w:jc w:val="left"/>
            </w:pPr>
            <w:r>
              <w:rPr/>
              <w:t xml:space="preserve">Focuses on impact and result for the client and responds positively to critical feedback</w:t>
            </w:r>
            <w:r>
              <w:rPr/>
              <w:t xml:space="preserve"> </w:t>
            </w:r>
          </w:p>
          <w:p>
            <w:pPr>
              <w:numPr>
                <w:ilvl w:val="0"/>
                <w:numId w:val="51"/>
              </w:numPr>
              <w:spacing w:before="0" w:after="0" w:line="259" w:lineRule="auto"/>
              <w:ind w:left="720" w:right="0" w:hanging="360"/>
              <w:jc w:val="left"/>
            </w:pPr>
            <w:r>
              <w:rPr/>
              <w:t xml:space="preserve">Consistently approaches work with energy and a positive, constructive attitude</w:t>
            </w:r>
            <w:r>
              <w:rPr/>
              <w:t xml:space="preserve"> </w:t>
            </w:r>
          </w:p>
          <w:p>
            <w:pPr>
              <w:numPr>
                <w:ilvl w:val="0"/>
                <w:numId w:val="51"/>
              </w:numPr>
              <w:spacing w:before="0" w:after="0" w:line="259" w:lineRule="auto"/>
              <w:ind w:left="720" w:right="0" w:hanging="360"/>
              <w:jc w:val="left"/>
            </w:pPr>
            <w:r>
              <w:rPr/>
              <w:t xml:space="preserve">Demonstrates strong writing, facilitation, and presentation skills</w:t>
            </w:r>
            <w:r>
              <w:rPr/>
              <w:t xml:space="preserve"> </w:t>
            </w:r>
          </w:p>
          <w:p>
            <w:pPr>
              <w:numPr>
                <w:ilvl w:val="0"/>
                <w:numId w:val="51"/>
              </w:numPr>
              <w:spacing w:before="0" w:after="0" w:line="259" w:lineRule="auto"/>
              <w:ind w:left="720" w:right="0" w:hanging="360"/>
              <w:jc w:val="left"/>
            </w:pPr>
            <w:r>
              <w:rPr/>
              <w:t xml:space="preserve">Builds strong relationships and networks with clients and external actors</w:t>
            </w:r>
            <w:r>
              <w:rPr/>
              <w:t xml:space="preserve"> </w:t>
            </w:r>
          </w:p>
          <w:p>
            <w:pPr>
              <w:numPr>
                <w:ilvl w:val="0"/>
                <w:numId w:val="51"/>
              </w:numPr>
              <w:spacing w:before="0" w:after="0" w:line="259" w:lineRule="auto"/>
              <w:ind w:left="720" w:right="0" w:hanging="360"/>
              <w:jc w:val="left"/>
            </w:pPr>
            <w:r>
              <w:rPr/>
              <w:t xml:space="preserve">Remains calm, in control and good humored even under pressure</w:t>
            </w:r>
            <w:r>
              <w:rPr/>
              <w:t xml:space="preserve"> </w:t>
            </w:r>
          </w:p>
          <w:p>
            <w:pPr>
              <w:spacing w:before="0" w:after="0" w:line="259" w:lineRule="auto"/>
              <w:ind w:left="720" w:right="0" w:firstLine="0"/>
              <w:jc w:val="left"/>
            </w:pP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4" w:type="dxa"/>
          <w:left w:w="107" w:type="dxa"/>
          <w:bottom w:w="0" w:type="dxa"/>
          <w:right w:w="57" w:type="dxa"/>
        </w:tblCellMar>
      </w:tblPr>
      <w:tblGrid>
        <w:gridCol w:w="2987"/>
        <w:gridCol w:w="5868"/>
      </w:tblGrid>
      <w:tr>
        <w:trPr>
          <w:trHeight w:val="545" w:hRule="atLeast"/>
        </w:trPr>
        <w:tc>
          <w:tcPr>
            <w:tcW w:w="2987" w:type="dxa"/>
            <w:tcBorders>
              <w:top w:val="single" w:sz="4" w:color="000000"/>
              <w:left w:val="single" w:sz="4" w:color="000000"/>
              <w:bottom w:val="single" w:sz="4" w:color="000000"/>
              <w:right w:val="nil"/>
            </w:tcBorders>
            <w:shd w:val="clear" w:fill="e0e0e0"/>
            <w:vAlign w:val="top"/>
          </w:tcPr>
          <w:p>
            <w:pPr>
              <w:spacing w:before="0" w:after="0" w:line="259" w:lineRule="auto"/>
              <w:ind w:left="0" w:right="0" w:firstLine="0"/>
              <w:jc w:val="left"/>
            </w:pPr>
            <w:r>
              <w:rPr>
                <w:rFonts w:cs="Calibri" w:hAnsi="Calibri" w:eastAsia="Calibri" w:ascii="Calibri"/>
                <w:b w:val="1"/>
              </w:rPr>
              <w:t xml:space="preserve">VI. Recruitment Qualifications</w:t>
            </w:r>
            <w:r>
              <w:rPr/>
              <w:t xml:space="preserve"> </w:t>
            </w:r>
          </w:p>
          <w:p>
            <w:pPr>
              <w:spacing w:before="0" w:after="0" w:line="259" w:lineRule="auto"/>
              <w:ind w:left="0" w:right="0" w:firstLine="0"/>
              <w:jc w:val="left"/>
            </w:pPr>
            <w:r>
              <w:rPr/>
              <w:t xml:space="preserve"> </w:t>
            </w:r>
          </w:p>
        </w:tc>
        <w:tc>
          <w:tcPr>
            <w:tcW w:w="5868" w:type="dxa"/>
            <w:tcBorders>
              <w:top w:val="single" w:sz="4" w:color="000000"/>
              <w:left w:val="nil"/>
              <w:bottom w:val="single" w:sz="4" w:color="000000"/>
              <w:right w:val="single" w:sz="4" w:color="000000"/>
            </w:tcBorders>
            <w:shd w:val="clear" w:fill="e0e0e0"/>
            <w:vAlign w:val="top"/>
          </w:tcPr>
          <w:p>
            <w:pPr>
              <w:bidi w:val="0"/>
              <w:spacing w:before="0" w:after="160" w:line="259" w:lineRule="auto"/>
              <w:ind w:left="0" w:right="0" w:firstLine="0"/>
              <w:jc w:val="left"/>
            </w:pPr>
          </w:p>
        </w:tc>
      </w:tr>
      <w:tr>
        <w:trPr>
          <w:trHeight w:val="817"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Education:</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39" w:lineRule="auto"/>
              <w:ind w:left="1" w:right="0" w:firstLine="0"/>
            </w:pPr>
            <w:r>
              <w:rPr/>
              <w:t xml:space="preserve">Master’s Degree</w:t>
            </w:r>
            <w:r>
              <w:rPr/>
              <w:t xml:space="preserve"> </w:t>
            </w:r>
            <w:r>
              <w:rPr/>
              <w:t xml:space="preserve">in management, business administration, public administration, finance, or related field.</w:t>
            </w:r>
            <w:r>
              <w:rPr/>
              <w:t xml:space="preserve">   </w:t>
            </w:r>
          </w:p>
          <w:p>
            <w:pPr>
              <w:spacing w:before="0" w:after="0" w:line="259" w:lineRule="auto"/>
              <w:ind w:left="1" w:right="0" w:firstLine="0"/>
              <w:jc w:val="left"/>
            </w:pPr>
            <w:r>
              <w:rPr>
                <w:rFonts w:cs="Calibri" w:hAnsi="Calibri" w:eastAsia="Calibri" w:ascii="Calibri"/>
                <w:b w:val="1"/>
              </w:rPr>
              <w:t xml:space="preserve"> </w:t>
            </w:r>
          </w:p>
        </w:tc>
      </w:tr>
      <w:tr>
        <w:trPr>
          <w:trHeight w:val="2964"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Experience:</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39" w:lineRule="auto"/>
              <w:ind w:left="1" w:right="52" w:firstLine="0"/>
            </w:pPr>
            <w:r>
              <w:rPr/>
              <w:t xml:space="preserve">Minimum 7 years of relevant experience including election project management , providing management advisory services and/or managing, monitoring and evaluating staff and operational systems;</w:t>
            </w:r>
            <w:r>
              <w:rPr/>
              <w:t xml:space="preserve"> </w:t>
            </w:r>
          </w:p>
          <w:p>
            <w:pPr>
              <w:spacing w:before="0" w:after="1" w:line="239" w:lineRule="auto"/>
              <w:ind w:left="1" w:right="49" w:firstLine="0"/>
            </w:pPr>
            <w:r>
              <w:rPr/>
              <w:t xml:space="preserve">Sound knowledge of organizational management, asset management, information and communication technology, administration, financial and human resources management, preferably with the UN/UNDP;</w:t>
            </w:r>
            <w:r>
              <w:rPr/>
              <w:t xml:space="preserve">  </w:t>
            </w:r>
          </w:p>
          <w:p>
            <w:pPr>
              <w:spacing w:before="0" w:after="0" w:line="240" w:lineRule="auto"/>
              <w:ind w:left="1" w:right="0" w:firstLine="0"/>
            </w:pPr>
            <w:r>
              <w:rPr/>
              <w:t xml:space="preserve">Knowledge of ATLAS or other enterprise corporate financial</w:t>
            </w:r>
            <w:r>
              <w:rPr>
                <w:rFonts w:cs="Calibri" w:hAnsi="Calibri" w:eastAsia="Calibri" w:ascii="Calibri"/>
                <w:b w:val="1"/>
              </w:rPr>
              <w:t xml:space="preserve"> </w:t>
            </w:r>
            <w:r>
              <w:rPr/>
              <w:t xml:space="preserve">solutions strongly preferred;</w:t>
            </w:r>
            <w:r>
              <w:rPr/>
              <w:t xml:space="preserve"> </w:t>
            </w:r>
          </w:p>
          <w:p>
            <w:pPr>
              <w:spacing w:before="0" w:after="0" w:line="259" w:lineRule="auto"/>
              <w:ind w:left="1" w:right="0" w:firstLine="0"/>
              <w:jc w:val="left"/>
            </w:pPr>
            <w:r>
              <w:rPr/>
              <w:t xml:space="preserve"> </w:t>
            </w:r>
          </w:p>
        </w:tc>
      </w:tr>
    </w:tbl>
    <w:tbl>
      <w:tblPr>
        <w:tblStyle w:val="TableGrid"/>
        <w:tblW w:w="8855" w:type="dxa"/>
        <w:tblInd w:w="-107" w:type="dxa"/>
        <w:tblCellMar>
          <w:top w:w="44" w:type="dxa"/>
          <w:left w:w="107" w:type="dxa"/>
          <w:bottom w:w="0" w:type="dxa"/>
          <w:right w:w="57" w:type="dxa"/>
        </w:tblCellMar>
      </w:tblPr>
      <w:tblGrid>
        <w:gridCol w:w="2987"/>
        <w:gridCol w:w="5868"/>
      </w:tblGrid>
      <w:tr>
        <w:trPr>
          <w:trHeight w:val="2964" w:hRule="atLeast"/>
        </w:trPr>
        <w:tc>
          <w:tcPr>
            <w:tcW w:w="29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5868" w:type="dxa"/>
            <w:tcBorders>
              <w:top w:val="single" w:sz="4" w:color="000000"/>
              <w:left w:val="single" w:sz="4" w:color="000000"/>
              <w:bottom w:val="single" w:sz="4" w:color="000000"/>
              <w:right w:val="single" w:sz="4" w:color="000000"/>
            </w:tcBorders>
            <w:vAlign w:val="top"/>
          </w:tcPr>
          <w:p>
            <w:pPr>
              <w:spacing w:before="0" w:after="0" w:line="239" w:lineRule="auto"/>
              <w:ind w:left="0" w:right="0" w:firstLine="0"/>
            </w:pPr>
            <w:r>
              <w:rPr/>
              <w:t xml:space="preserve">Certification in UNDP programmes, Procurement, HR, Accounting and Finance would be an advantage;</w:t>
            </w:r>
            <w:r>
              <w:rPr/>
              <w:t xml:space="preserve">  </w:t>
            </w:r>
          </w:p>
          <w:p>
            <w:pPr>
              <w:spacing w:before="0" w:after="0" w:line="239" w:lineRule="auto"/>
              <w:ind w:left="0" w:right="50" w:firstLine="0"/>
            </w:pPr>
            <w:r>
              <w:rPr/>
              <w:t xml:space="preserve">Advanced computer skills and knowledge of office software packages essential, experience in handling of web based management systems;</w:t>
            </w:r>
            <w:r>
              <w:rPr/>
              <w:t xml:space="preserve"> </w:t>
            </w:r>
          </w:p>
          <w:p>
            <w:pPr>
              <w:spacing w:before="0" w:after="0" w:line="239" w:lineRule="auto"/>
              <w:ind w:left="0" w:right="0" w:firstLine="0"/>
            </w:pPr>
            <w:r>
              <w:rPr/>
              <w:t xml:space="preserve">Experience working with project</w:t>
            </w:r>
            <w:r>
              <w:rPr/>
              <w:t xml:space="preserve"> </w:t>
            </w:r>
            <w:r>
              <w:rPr/>
              <w:t xml:space="preserve">teams and knowledge of project cycle management;</w:t>
            </w:r>
            <w:r>
              <w:rPr/>
              <w:t xml:space="preserve"> </w:t>
            </w:r>
          </w:p>
          <w:p>
            <w:pPr>
              <w:spacing w:before="0" w:after="0" w:line="239" w:lineRule="auto"/>
              <w:ind w:left="0" w:right="0" w:firstLine="0"/>
            </w:pPr>
            <w:r>
              <w:rPr/>
              <w:t xml:space="preserve">Excellent analytical, communication, writing and presentation skills;</w:t>
            </w:r>
            <w:r>
              <w:rPr/>
              <w:t xml:space="preserve"> </w:t>
            </w:r>
          </w:p>
          <w:p>
            <w:pPr>
              <w:spacing w:before="0" w:after="0" w:line="259" w:lineRule="auto"/>
              <w:ind w:left="0" w:right="0" w:firstLine="0"/>
            </w:pPr>
            <w:r>
              <w:rPr/>
              <w:t xml:space="preserve">Willingness to travel frequently in Tanzania and to work extensive hours and under pressure</w:t>
            </w:r>
            <w:r>
              <w:rPr/>
              <w:t xml:space="preserve"> </w:t>
            </w:r>
          </w:p>
        </w:tc>
      </w:tr>
      <w:tr>
        <w:trPr>
          <w:trHeight w:val="817"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Language Requirements:</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1" w:line="239" w:lineRule="auto"/>
              <w:ind w:left="0" w:right="0" w:firstLine="0"/>
              <w:jc w:val="left"/>
            </w:pPr>
            <w:r>
              <w:rPr/>
              <w:t xml:space="preserve">English language fluency written and spoken, essential. </w:t>
            </w:r>
            <w:r>
              <w:rPr/>
              <w:t xml:space="preserve"> </w:t>
            </w:r>
            <w:r>
              <w:rPr/>
              <w:t xml:space="preserve">Knowledge of Kiswahili an asset.</w:t>
            </w:r>
            <w:r>
              <w:rPr/>
              <w:t xml:space="preserve"> </w:t>
            </w:r>
          </w:p>
          <w:p>
            <w:pPr>
              <w:spacing w:before="0" w:after="0" w:line="259" w:lineRule="auto"/>
              <w:ind w:left="0" w:right="0" w:firstLine="0"/>
              <w:jc w:val="left"/>
            </w:pPr>
            <w:r>
              <w:rPr>
                <w:rFonts w:cs="Calibri" w:hAnsi="Calibri" w:eastAsia="Calibri" w:ascii="Calibri"/>
                <w:b w:val="1"/>
              </w:rPr>
              <w:t xml:space="preserve"> </w:t>
            </w:r>
          </w:p>
        </w:tc>
      </w:tr>
    </w:tbl>
    <w:p>
      <w:pPr>
        <w:spacing w:before="0" w:after="0" w:line="259" w:lineRule="auto"/>
        <w:ind w:left="1" w:right="0" w:firstLine="0"/>
      </w:pPr>
      <w:r>
        <w:rPr/>
        <w:t xml:space="preserve"> </w:t>
      </w:r>
    </w:p>
    <w:p>
      <w:pPr>
        <w:spacing w:before="0" w:after="0" w:line="259" w:lineRule="auto"/>
        <w:ind w:left="1" w:right="0" w:firstLine="0"/>
      </w:pPr>
      <w:r>
        <w:rPr/>
        <w:t xml:space="preserve"> </w:t>
      </w:r>
    </w:p>
    <w:p>
      <w:pPr>
        <w:spacing w:before="0" w:after="0" w:line="259" w:lineRule="auto"/>
        <w:ind w:left="1" w:right="0" w:firstLine="0"/>
      </w:pPr>
      <w:r>
        <w:rPr/>
        <w:t xml:space="preserve"> </w:t>
      </w:r>
    </w:p>
    <w:tbl>
      <w:tblPr>
        <w:tblStyle w:val="TableGrid"/>
        <w:tblW w:w="8855" w:type="dxa"/>
        <w:tblInd w:w="-106" w:type="dxa"/>
        <w:tblCellMar>
          <w:top w:w="44" w:type="dxa"/>
          <w:left w:w="107" w:type="dxa"/>
          <w:bottom w:w="0" w:type="dxa"/>
          <w:right w:w="115" w:type="dxa"/>
        </w:tblCellMar>
      </w:tblPr>
      <w:tblGrid>
        <w:gridCol w:w="4427"/>
        <w:gridCol w:w="4428"/>
      </w:tblGrid>
      <w:tr>
        <w:trPr>
          <w:trHeight w:val="545" w:hRule="atLeast"/>
        </w:trPr>
        <w:tc>
          <w:tcPr>
            <w:tcW w:w="4427" w:type="dxa"/>
            <w:tcBorders>
              <w:top w:val="single" w:sz="4" w:color="000000"/>
              <w:left w:val="single" w:sz="4" w:color="000000"/>
              <w:bottom w:val="single" w:sz="4" w:color="000000"/>
              <w:right w:val="nil"/>
            </w:tcBorders>
            <w:shd w:val="clear" w:fill="e0e0e0"/>
            <w:vAlign w:val="top"/>
          </w:tcPr>
          <w:p>
            <w:pPr>
              <w:spacing w:before="0" w:after="0" w:line="259" w:lineRule="auto"/>
              <w:ind w:left="0" w:right="0" w:firstLine="0"/>
              <w:jc w:val="left"/>
            </w:pPr>
            <w:r>
              <w:rPr>
                <w:rFonts w:cs="Calibri" w:hAnsi="Calibri" w:eastAsia="Calibri" w:ascii="Calibri"/>
                <w:b w:val="1"/>
              </w:rPr>
              <w:t xml:space="preserve">I. Position Information</w:t>
            </w:r>
            <w:r>
              <w:rPr/>
              <w:t xml:space="preserve"> </w:t>
            </w:r>
          </w:p>
          <w:p>
            <w:pPr>
              <w:spacing w:before="0" w:after="0" w:line="259" w:lineRule="auto"/>
              <w:ind w:left="0" w:right="0" w:firstLine="0"/>
              <w:jc w:val="left"/>
            </w:pPr>
            <w:r>
              <w:rPr/>
              <w:t xml:space="preserve"> </w:t>
            </w:r>
          </w:p>
        </w:tc>
        <w:tc>
          <w:tcPr>
            <w:tcW w:w="4428" w:type="dxa"/>
            <w:tcBorders>
              <w:top w:val="single" w:sz="4" w:color="000000"/>
              <w:left w:val="nil"/>
              <w:bottom w:val="single" w:sz="4" w:color="000000"/>
              <w:right w:val="single" w:sz="4" w:color="000000"/>
            </w:tcBorders>
            <w:shd w:val="clear" w:fill="e0e0e0"/>
            <w:vAlign w:val="top"/>
          </w:tcPr>
          <w:p>
            <w:pPr>
              <w:bidi w:val="0"/>
              <w:spacing w:before="0" w:after="160" w:line="259" w:lineRule="auto"/>
              <w:ind w:left="0" w:right="0" w:firstLine="0"/>
              <w:jc w:val="left"/>
            </w:pPr>
          </w:p>
        </w:tc>
      </w:tr>
      <w:tr>
        <w:trPr>
          <w:trHeight w:val="1890" w:hRule="atLeast"/>
        </w:trPr>
        <w:tc>
          <w:tcPr>
            <w:tcW w:w="442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Job Code Title:   </w:t>
            </w:r>
            <w:r>
              <w:rPr/>
              <w:t xml:space="preserve"> </w:t>
            </w:r>
          </w:p>
          <w:p>
            <w:pPr>
              <w:spacing w:before="0" w:after="0" w:line="259" w:lineRule="auto"/>
              <w:ind w:left="0" w:right="0" w:firstLine="0"/>
              <w:jc w:val="left"/>
            </w:pPr>
            <w:r>
              <w:rPr>
                <w:rFonts w:cs="Calibri" w:hAnsi="Calibri" w:eastAsia="Calibri" w:ascii="Calibri"/>
                <w:b w:val="1"/>
              </w:rPr>
              <w:t xml:space="preserve">Recommended Grade:</w:t>
            </w:r>
            <w:r>
              <w:rPr/>
              <w:t xml:space="preserve"> </w:t>
            </w:r>
          </w:p>
          <w:p>
            <w:pPr>
              <w:spacing w:before="0" w:after="2" w:line="238" w:lineRule="auto"/>
              <w:ind w:left="0" w:right="2901" w:firstLine="0"/>
              <w:jc w:val="left"/>
            </w:pPr>
            <w:r>
              <w:rPr>
                <w:rFonts w:cs="Calibri" w:hAnsi="Calibri" w:eastAsia="Calibri" w:ascii="Calibri"/>
                <w:b w:val="1"/>
              </w:rPr>
              <w:t xml:space="preserve">Supervisor</w:t>
            </w:r>
            <w:r>
              <w:rPr/>
              <w:t xml:space="preserve"> </w:t>
            </w:r>
            <w:r>
              <w:rPr>
                <w:rFonts w:cs="Calibri" w:hAnsi="Calibri" w:eastAsia="Calibri" w:ascii="Calibri"/>
                <w:b w:val="1"/>
              </w:rPr>
              <w:t xml:space="preserve">Duration</w:t>
            </w:r>
            <w:r>
              <w:rPr/>
              <w:t xml:space="preserve"> </w:t>
            </w:r>
            <w:r>
              <w:rPr>
                <w:rFonts w:cs="Calibri" w:hAnsi="Calibri" w:eastAsia="Calibri" w:ascii="Calibri"/>
                <w:b w:val="1"/>
              </w:rPr>
              <w:t xml:space="preserve">Start Date:</w:t>
            </w:r>
            <w:r>
              <w:rPr/>
              <w:t xml:space="preserve"> </w:t>
            </w:r>
          </w:p>
          <w:p>
            <w:pPr>
              <w:spacing w:before="0" w:after="0" w:line="259" w:lineRule="auto"/>
              <w:ind w:left="0" w:right="0" w:firstLine="0"/>
              <w:jc w:val="left"/>
            </w:pPr>
            <w:r>
              <w:rPr>
                <w:rFonts w:cs="Calibri" w:hAnsi="Calibri" w:eastAsia="Calibri" w:ascii="Calibri"/>
                <w:b w:val="1"/>
              </w:rPr>
              <w:t xml:space="preserve">Duty Station:</w:t>
            </w:r>
            <w:r>
              <w:rPr>
                <w:rFonts w:cs="Calibri" w:hAnsi="Calibri" w:eastAsia="Calibri" w:ascii="Calibri"/>
                <w:b w:val="1"/>
              </w:rPr>
              <w:t xml:space="preserve">   </w:t>
            </w:r>
            <w:r>
              <w:rPr/>
              <w:t xml:space="preserve"> </w:t>
            </w:r>
          </w:p>
        </w:tc>
        <w:tc>
          <w:tcPr>
            <w:tcW w:w="4428"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t xml:space="preserve"> </w:t>
            </w:r>
          </w:p>
          <w:p>
            <w:pPr>
              <w:spacing w:before="0" w:after="0" w:line="259" w:lineRule="auto"/>
              <w:ind w:left="1" w:right="0" w:firstLine="0"/>
              <w:jc w:val="left"/>
            </w:pPr>
            <w:r>
              <w:rPr>
                <w:rFonts w:cs="Calibri" w:hAnsi="Calibri" w:eastAsia="Calibri" w:ascii="Calibri"/>
                <w:b w:val="1"/>
              </w:rPr>
              <w:t xml:space="preserve">Operations Manager</w:t>
            </w:r>
            <w:r>
              <w:rPr/>
              <w:t xml:space="preserve"> </w:t>
            </w:r>
          </w:p>
          <w:p>
            <w:pPr>
              <w:spacing w:before="0" w:after="0" w:line="259" w:lineRule="auto"/>
              <w:ind w:left="1" w:right="0" w:firstLine="0"/>
              <w:jc w:val="left"/>
            </w:pPr>
            <w:r>
              <w:rPr>
                <w:rFonts w:cs="Calibri" w:hAnsi="Calibri" w:eastAsia="Calibri" w:ascii="Calibri"/>
                <w:b w:val="1"/>
              </w:rPr>
              <w:t xml:space="preserve">P5</w:t>
            </w:r>
            <w:r>
              <w:rPr/>
              <w:t xml:space="preserve"> </w:t>
            </w:r>
          </w:p>
          <w:p>
            <w:pPr>
              <w:spacing w:before="0" w:after="0" w:line="259" w:lineRule="auto"/>
              <w:ind w:left="1" w:right="0" w:firstLine="0"/>
              <w:jc w:val="left"/>
            </w:pPr>
            <w:r>
              <w:rPr>
                <w:rFonts w:cs="Calibri" w:hAnsi="Calibri" w:eastAsia="Calibri" w:ascii="Calibri"/>
                <w:b w:val="1"/>
              </w:rPr>
              <w:t xml:space="preserve">DCD (O)</w:t>
            </w:r>
            <w:r>
              <w:rPr/>
              <w:t xml:space="preserve"> </w:t>
            </w:r>
          </w:p>
          <w:p>
            <w:pPr>
              <w:spacing w:before="0" w:after="0" w:line="259" w:lineRule="auto"/>
              <w:ind w:left="1" w:right="0" w:firstLine="0"/>
              <w:jc w:val="left"/>
            </w:pPr>
            <w:r>
              <w:rPr/>
              <w:t xml:space="preserve"> </w:t>
            </w:r>
          </w:p>
          <w:p>
            <w:pPr>
              <w:spacing w:before="0" w:after="0" w:line="259" w:lineRule="auto"/>
              <w:ind w:left="1" w:right="0" w:firstLine="0"/>
              <w:jc w:val="left"/>
            </w:pPr>
            <w:r>
              <w:rPr>
                <w:rFonts w:cs="Calibri" w:hAnsi="Calibri" w:eastAsia="Calibri" w:ascii="Calibri"/>
                <w:b w:val="1"/>
              </w:rPr>
              <w:t xml:space="preserve">As Soon as possible</w:t>
            </w:r>
            <w:r>
              <w:rPr>
                <w:rFonts w:cs="Calibri" w:hAnsi="Calibri" w:eastAsia="Calibri" w:ascii="Calibri"/>
                <w:b w:val="1"/>
              </w:rPr>
              <w:t xml:space="preserve"> </w:t>
            </w:r>
          </w:p>
          <w:p>
            <w:pPr>
              <w:spacing w:before="0" w:after="0" w:line="259" w:lineRule="auto"/>
              <w:ind w:left="1" w:right="0" w:firstLine="0"/>
              <w:jc w:val="left"/>
            </w:pPr>
            <w:r>
              <w:rPr>
                <w:rFonts w:cs="Calibri" w:hAnsi="Calibri" w:eastAsia="Calibri" w:ascii="Calibri"/>
                <w:b w:val="1"/>
              </w:rPr>
              <w:t xml:space="preserve">Dar es Salaam</w:t>
            </w:r>
            <w:r>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49" w:type="dxa"/>
          <w:right w:w="57" w:type="dxa"/>
        </w:tblCellMar>
      </w:tblPr>
      <w:tblGrid>
        <w:gridCol w:w="8855"/>
      </w:tblGrid>
      <w:tr>
        <w:trPr>
          <w:trHeight w:val="696"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0" w:line="259" w:lineRule="auto"/>
              <w:ind w:left="0" w:right="0" w:firstLine="0"/>
              <w:jc w:val="left"/>
            </w:pPr>
            <w:r>
              <w:rPr>
                <w:rFonts w:cs="Calibri" w:hAnsi="Calibri" w:eastAsia="Calibri" w:ascii="Calibri"/>
                <w:b w:val="1"/>
              </w:rPr>
              <w:t xml:space="preserve">II. Organizational Context </w:t>
            </w:r>
            <w:r>
              <w:rPr>
                <w:rFonts w:cs="Calibri" w:hAnsi="Calibri" w:eastAsia="Calibri" w:ascii="Calibri"/>
                <w:b w:val="1"/>
              </w:rPr>
              <w:t xml:space="preserve"> </w:t>
            </w:r>
          </w:p>
        </w:tc>
      </w:tr>
      <w:tr>
        <w:trPr>
          <w:trHeight w:val="5841" w:hRule="atLeast"/>
        </w:trPr>
        <w:tc>
          <w:tcPr>
            <w:tcW w:w="8855" w:type="dxa"/>
            <w:tcBorders>
              <w:top w:val="single" w:sz="4" w:color="000000"/>
              <w:left w:val="single" w:sz="4" w:color="000000"/>
              <w:bottom w:val="single" w:sz="4" w:color="000000"/>
              <w:right w:val="single" w:sz="4" w:color="000000"/>
            </w:tcBorders>
            <w:vAlign w:val="top"/>
          </w:tcPr>
          <w:p>
            <w:pPr>
              <w:spacing w:before="0" w:after="1" w:line="275" w:lineRule="auto"/>
              <w:ind w:left="0" w:right="47" w:firstLine="0"/>
            </w:pPr>
            <w:r>
              <w:rPr/>
              <w:t xml:space="preserve">Tanzania has had 4 credible general elections since the reintroduction of multi</w:t>
            </w:r>
            <w:r>
              <w:rPr/>
              <w:t xml:space="preserve">-</w:t>
            </w:r>
            <w:r>
              <w:rPr/>
              <w:t xml:space="preserve">party politics in 1992. Citizens and the government are eager to maintain this track record and to further strengthen democratic practice in Tanzania. Looking to the 2015 general election, government has undertaken early and comprehensive preparations for the electoral processes. Since receipt of official requests for UN assistance to the election cycle leading to the 2015 general election from the</w:t>
            </w:r>
            <w:r>
              <w:rPr/>
              <w:t xml:space="preserve"> </w:t>
            </w:r>
            <w:r>
              <w:rPr/>
              <w:t xml:space="preserve">National Election Commission and Zanzibar Electoral Commission, a UN Needs Assessment Mission recommended the development of a project in support of the National efforts.</w:t>
            </w:r>
            <w:r>
              <w:rPr/>
              <w:t xml:space="preserve"> </w:t>
            </w:r>
          </w:p>
          <w:p>
            <w:pPr>
              <w:spacing w:before="0" w:after="1" w:line="275" w:lineRule="auto"/>
              <w:ind w:left="0" w:right="49" w:firstLine="0"/>
            </w:pPr>
            <w:r>
              <w:rPr/>
              <w:t xml:space="preserve">As well, in 2014 the United Republic of Tanzania will likely conduct the first national referendum on a new constitution. The National partners and other stakeholders in preparing for these critical events have requested the support of UNDP to provide technical and financial support to the preparation and execution of the referendum and the</w:t>
            </w:r>
            <w:r>
              <w:rPr/>
              <w:t xml:space="preserve"> </w:t>
            </w:r>
            <w:r>
              <w:rPr/>
              <w:t xml:space="preserve">general election.  </w:t>
            </w:r>
            <w:r>
              <w:rPr/>
              <w:t xml:space="preserve"> </w:t>
            </w:r>
          </w:p>
          <w:p>
            <w:pPr>
              <w:spacing w:before="0" w:after="0" w:line="275" w:lineRule="auto"/>
              <w:ind w:left="0" w:right="49" w:firstLine="0"/>
            </w:pPr>
            <w:r>
              <w:rPr/>
              <w:t xml:space="preserve">To these ends, the Democratic Empowerment Project is a four</w:t>
            </w:r>
            <w:r>
              <w:rPr/>
              <w:t xml:space="preserve">-</w:t>
            </w:r>
            <w:r>
              <w:rPr/>
              <w:t xml:space="preserve">year (2013</w:t>
            </w:r>
            <w:r>
              <w:rPr/>
              <w:t xml:space="preserve">-</w:t>
            </w:r>
            <w:r>
              <w:rPr/>
              <w:t xml:space="preserve">2016) UNDP, UN One Fund and other donor</w:t>
            </w:r>
            <w:r>
              <w:rPr/>
              <w:t xml:space="preserve">-</w:t>
            </w:r>
            <w:r>
              <w:rPr/>
              <w:t xml:space="preserve">funded project with the overall aim of contributing to Tanzania’s UNDAP’s Outcome 7: i.e. “key institutions (of democracy,</w:t>
            </w:r>
            <w:r>
              <w:rPr/>
              <w:t xml:space="preserve"> </w:t>
            </w:r>
            <w:r>
              <w:rPr/>
              <w:t xml:space="preserve">i.e. EMBs, etc.) effectively implement their election and political functions”.   </w:t>
            </w:r>
            <w:r>
              <w:rPr/>
              <w:t xml:space="preserve"> </w:t>
            </w:r>
          </w:p>
          <w:p>
            <w:pPr>
              <w:spacing w:before="0" w:after="19"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Project Objectives</w:t>
            </w:r>
            <w:r>
              <w:rPr>
                <w:rFonts w:cs="Calibri" w:hAnsi="Calibri" w:eastAsia="Calibri" w:ascii="Calibri"/>
                <w:b w:val="1"/>
              </w:rPr>
              <w:t xml:space="preserve"> </w:t>
            </w:r>
          </w:p>
          <w:p>
            <w:pPr>
              <w:spacing w:before="0" w:after="0" w:line="259" w:lineRule="auto"/>
              <w:ind w:left="0" w:right="0" w:firstLine="0"/>
              <w:jc w:val="left"/>
            </w:pPr>
            <w:r>
              <w:rPr/>
              <w:t xml:space="preserve">The Project seeks to promote democracy and contribute to the realisation of the following four </w:t>
            </w:r>
          </w:p>
        </w:tc>
      </w:tr>
    </w:tbl>
    <w:p>
      <w:pPr>
        <w:pBdr>
          <w:top w:val="single" w:color="000000" w:sz="4"/>
          <w:left w:val="single" w:color="000000" w:sz="4"/>
          <w:bottom w:val="single" w:color="000000" w:sz="4"/>
          <w:right w:val="single" w:color="000000" w:sz="4"/>
        </w:pBdr>
        <w:spacing w:before="0" w:after="4" w:line="267" w:lineRule="auto"/>
        <w:ind w:left="-4" w:right="375"/>
      </w:pPr>
      <w:r>
        <w:rPr/>
        <w:t xml:space="preserve">outputs: </w:t>
      </w:r>
      <w:r>
        <w:rPr/>
        <w:t xml:space="preserve"> </w:t>
      </w:r>
    </w:p>
    <w:p>
      <w:pPr>
        <w:numPr>
          <w:ilvl w:val="0"/>
          <w:numId w:val="22"/>
        </w:numPr>
        <w:pBdr>
          <w:top w:val="single" w:color="000000" w:sz="4"/>
          <w:left w:val="single" w:color="000000" w:sz="4"/>
          <w:bottom w:val="single" w:color="000000" w:sz="4"/>
          <w:right w:val="single" w:color="000000" w:sz="4"/>
        </w:pBdr>
        <w:spacing w:before="0" w:after="4" w:line="267" w:lineRule="auto"/>
        <w:ind w:left="216" w:right="375" w:hanging="230"/>
      </w:pPr>
      <w:r>
        <w:rPr/>
        <w:t xml:space="preserve">Capacity of the key democratic institutions</w:t>
      </w:r>
      <w:r>
        <w:rPr/>
        <w:t xml:space="preserve"> </w:t>
      </w:r>
      <w:r>
        <w:rPr/>
        <w:t xml:space="preserve">(EMBs, CRC, RPP, etc.) enhanced to support and promote legal and institutional reform in the context of the on</w:t>
      </w:r>
      <w:r>
        <w:rPr/>
        <w:t xml:space="preserve">-</w:t>
      </w:r>
      <w:r>
        <w:rPr/>
        <w:t xml:space="preserve">going constitutional reform process and beyond; </w:t>
      </w:r>
      <w:r>
        <w:rPr/>
        <w:t xml:space="preserve"> </w:t>
      </w:r>
    </w:p>
    <w:p>
      <w:pPr>
        <w:numPr>
          <w:ilvl w:val="0"/>
          <w:numId w:val="22"/>
        </w:numPr>
        <w:pBdr>
          <w:top w:val="single" w:color="000000" w:sz="4"/>
          <w:left w:val="single" w:color="000000" w:sz="4"/>
          <w:bottom w:val="single" w:color="000000" w:sz="4"/>
          <w:right w:val="single" w:color="000000" w:sz="4"/>
        </w:pBdr>
        <w:spacing w:before="0" w:after="4" w:line="267" w:lineRule="auto"/>
        <w:ind w:left="216" w:right="375" w:hanging="230"/>
      </w:pPr>
      <w:r>
        <w:rPr/>
        <w:t xml:space="preserve">Capacity of the EMBs to conduct credible elections enhanced through strategic, technical and</w:t>
      </w:r>
      <w:r>
        <w:rPr/>
        <w:t xml:space="preserve"> </w:t>
      </w:r>
      <w:r>
        <w:rPr/>
        <w:t xml:space="preserve">operational support and improved EMB engagement with stakeholders (i.e. political parties, CSOs, and the media)  to foster a democratic environment; </w:t>
      </w:r>
      <w:r>
        <w:rPr/>
        <w:t xml:space="preserve"> </w:t>
      </w:r>
    </w:p>
    <w:p>
      <w:pPr>
        <w:numPr>
          <w:ilvl w:val="0"/>
          <w:numId w:val="22"/>
        </w:numPr>
        <w:pBdr>
          <w:top w:val="single" w:color="000000" w:sz="4"/>
          <w:left w:val="single" w:color="000000" w:sz="4"/>
          <w:bottom w:val="single" w:color="000000" w:sz="4"/>
          <w:right w:val="single" w:color="000000" w:sz="4"/>
        </w:pBdr>
        <w:spacing w:before="0" w:after="4" w:line="267" w:lineRule="auto"/>
        <w:ind w:left="216" w:right="375" w:hanging="230"/>
      </w:pPr>
      <w:r>
        <w:rPr/>
        <w:t xml:space="preserve">Inclusive participation in elections and politics enhanced through the empowerment of women, youth and</w:t>
      </w:r>
      <w:r>
        <w:rPr/>
        <w:t xml:space="preserve"> </w:t>
      </w:r>
      <w:r>
        <w:rPr/>
        <w:t xml:space="preserve">PWDs; and </w:t>
      </w:r>
      <w:r>
        <w:rPr/>
        <w:t xml:space="preserve"> </w:t>
      </w:r>
    </w:p>
    <w:p>
      <w:pPr>
        <w:numPr>
          <w:ilvl w:val="0"/>
          <w:numId w:val="22"/>
        </w:numPr>
        <w:pBdr>
          <w:top w:val="single" w:color="000000" w:sz="4"/>
          <w:left w:val="single" w:color="000000" w:sz="4"/>
          <w:bottom w:val="single" w:color="000000" w:sz="4"/>
          <w:right w:val="single" w:color="000000" w:sz="4"/>
        </w:pBdr>
        <w:spacing w:before="0" w:after="4" w:line="267" w:lineRule="auto"/>
        <w:ind w:left="216" w:right="375" w:hanging="230"/>
      </w:pPr>
      <w:r>
        <w:rPr/>
        <w:t xml:space="preserve">National peace infrastructure enhanced to mitigate and prevent election</w:t>
      </w:r>
      <w:r>
        <w:rPr/>
        <w:t xml:space="preserve">-</w:t>
      </w:r>
      <w:r>
        <w:rPr/>
        <w:t xml:space="preserve">related conflicts.</w:t>
      </w:r>
      <w:r>
        <w:rPr/>
        <w:t xml:space="preserve"> </w:t>
      </w:r>
    </w:p>
    <w:p>
      <w:pPr>
        <w:pBdr>
          <w:top w:val="single" w:color="000000" w:sz="4"/>
          <w:left w:val="single" w:color="000000" w:sz="4"/>
          <w:bottom w:val="single" w:color="000000" w:sz="4"/>
          <w:right w:val="single" w:color="000000" w:sz="4"/>
        </w:pBdr>
        <w:spacing w:before="0" w:after="19" w:line="259" w:lineRule="auto"/>
        <w:ind w:left="-14" w:right="375" w:firstLine="0"/>
        <w:jc w:val="left"/>
      </w:pPr>
      <w:r>
        <w:rPr/>
        <w:t xml:space="preserve"> </w:t>
      </w:r>
    </w:p>
    <w:p>
      <w:pPr>
        <w:pStyle w:val="heading4"/>
        <w:pBdr>
          <w:top w:val="single" w:color="000000" w:sz="4"/>
          <w:left w:val="single" w:color="000000" w:sz="4"/>
          <w:bottom w:val="single" w:color="000000" w:sz="4"/>
          <w:right w:val="single" w:color="000000" w:sz="4"/>
        </w:pBdr>
        <w:spacing w:before="0" w:after="0" w:line="259" w:lineRule="auto"/>
        <w:ind w:left="-4" w:right="375"/>
      </w:pPr>
      <w:r>
        <w:rPr/>
        <w:t xml:space="preserve">Project Management</w:t>
      </w:r>
      <w:r>
        <w:rPr/>
        <w:t xml:space="preserve"> </w:t>
      </w:r>
    </w:p>
    <w:p>
      <w:pPr>
        <w:pBdr>
          <w:top w:val="single" w:color="000000" w:sz="4"/>
          <w:left w:val="single" w:color="000000" w:sz="4"/>
          <w:bottom w:val="single" w:color="000000" w:sz="4"/>
          <w:right w:val="single" w:color="000000" w:sz="4"/>
        </w:pBdr>
        <w:spacing w:before="0" w:after="0" w:line="259" w:lineRule="auto"/>
        <w:ind w:left="-14" w:right="375" w:firstLine="0"/>
        <w:jc w:val="left"/>
      </w:pPr>
      <w:r>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The project will be executed directly by UNDP and implemented under the overall guiding principle of national ownership and leadership in the electoral process. The international project assistance provided should be considered as an extension of, and a complement to, national resources and is intended to support national management and coordination structures, in the spirit of the Joint Assistance Strategy for Tanzania (JAST).</w:t>
      </w:r>
      <w:r>
        <w:rPr/>
        <w:t xml:space="preserve"> </w:t>
      </w:r>
    </w:p>
    <w:p>
      <w:pPr>
        <w:pBdr>
          <w:top w:val="single" w:color="000000" w:sz="4"/>
          <w:left w:val="single" w:color="000000" w:sz="4"/>
          <w:bottom w:val="single" w:color="000000" w:sz="4"/>
          <w:right w:val="single" w:color="000000" w:sz="4"/>
        </w:pBdr>
        <w:spacing w:before="0" w:after="19" w:line="259" w:lineRule="auto"/>
        <w:ind w:left="-14" w:right="375" w:firstLine="0"/>
        <w:jc w:val="left"/>
      </w:pPr>
      <w:r>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Reporting to the DCD</w:t>
      </w:r>
      <w:r>
        <w:rPr/>
        <w:t xml:space="preserve">-</w:t>
      </w:r>
      <w:r>
        <w:rPr/>
        <w:t xml:space="preserve">O and working closely with the Project Manager, the Operations Manager acts as an advisor to the project and UNDP Senior Management on all aspects of efficient project operations. The main role is to lead the operations, ensuring smooth functioning of the CO/ programmes/ projects operations, consistent services delivery and constant evaluation and readjustment of the operations to take into account changes in the operating environment as and when needed.</w:t>
      </w:r>
      <w:r>
        <w:rPr/>
        <w:t xml:space="preserve"> </w:t>
      </w:r>
    </w:p>
    <w:p>
      <w:pPr>
        <w:pBdr>
          <w:top w:val="single" w:color="000000" w:sz="4"/>
          <w:left w:val="single" w:color="000000" w:sz="4"/>
          <w:bottom w:val="single" w:color="000000" w:sz="4"/>
          <w:right w:val="single" w:color="000000" w:sz="4"/>
        </w:pBdr>
        <w:spacing w:before="0" w:after="16" w:line="259" w:lineRule="auto"/>
        <w:ind w:left="-14" w:right="375" w:firstLine="0"/>
        <w:jc w:val="right"/>
      </w:pPr>
      <w:r>
        <w:rPr/>
        <w:t xml:space="preserve"> </w:t>
      </w:r>
    </w:p>
    <w:p>
      <w:pPr>
        <w:pBdr>
          <w:top w:val="single" w:color="000000" w:sz="4"/>
          <w:left w:val="single" w:color="000000" w:sz="4"/>
          <w:bottom w:val="single" w:color="000000" w:sz="4"/>
          <w:right w:val="single" w:color="000000" w:sz="4"/>
        </w:pBdr>
        <w:spacing w:before="0" w:after="4" w:line="267" w:lineRule="auto"/>
        <w:ind w:left="-4" w:right="375"/>
      </w:pPr>
      <w:r>
        <w:rPr/>
        <w:t xml:space="preserve">The Operations Manager works in close collaboration with the project team and with the CO to deliver timely, value for money, high quality services in procurement, human resources and other as appropriate. Over the life of the project it is expected DEP will account for more than 50 % of UNDP CO operations. Close work will also include operations staff in other UN Agencies, UNDP HQs staff and Government officials to successfully deliver operations services.</w:t>
      </w:r>
      <w:r>
        <w:rPr/>
        <w:t xml:space="preserve"> </w:t>
      </w:r>
    </w:p>
    <w:p>
      <w:pPr>
        <w:pBdr>
          <w:top w:val="single" w:color="000000" w:sz="4"/>
          <w:left w:val="single" w:color="000000" w:sz="4"/>
          <w:bottom w:val="single" w:color="000000" w:sz="4"/>
          <w:right w:val="single" w:color="000000" w:sz="4"/>
        </w:pBdr>
        <w:spacing w:before="0" w:after="0" w:line="259" w:lineRule="auto"/>
        <w:ind w:left="-14" w:right="375" w:firstLine="0"/>
        <w:jc w:val="left"/>
      </w:pPr>
      <w:r>
        <w:rPr/>
        <w:t xml:space="preserve"> </w:t>
      </w:r>
    </w:p>
    <w:p>
      <w:pPr>
        <w:spacing w:before="0" w:after="0" w:line="259" w:lineRule="auto"/>
        <w:ind w:left="1" w:right="0" w:firstLine="0"/>
        <w:jc w:val="left"/>
      </w:pPr>
      <w:r>
        <w:rPr>
          <w:rFonts w:cs="Calibri" w:hAnsi="Calibri" w:eastAsia="Calibri" w:ascii="Calibri"/>
          <w:b w:val="1"/>
        </w:rPr>
        <w:t xml:space="preserve"> </w:t>
      </w:r>
    </w:p>
    <w:p>
      <w:pPr>
        <w:spacing w:before="0" w:after="0" w:line="259" w:lineRule="auto"/>
        <w:ind w:left="1" w:right="0" w:firstLine="0"/>
        <w:jc w:val="left"/>
      </w:pPr>
      <w:r>
        <w:rPr>
          <w:rFonts w:cs="Calibri" w:hAnsi="Calibri" w:eastAsia="Calibri" w:ascii="Calibri"/>
          <w:b w:val="1"/>
        </w:rPr>
        <w:t xml:space="preserve"> </w:t>
      </w:r>
    </w:p>
    <w:p>
      <w:pPr>
        <w:spacing w:before="0" w:after="0" w:line="259" w:lineRule="auto"/>
        <w:ind w:left="1" w:right="0" w:firstLine="0"/>
        <w:jc w:val="left"/>
      </w:pPr>
      <w:r>
        <w:rPr>
          <w:rFonts w:cs="Calibri" w:hAnsi="Calibri" w:eastAsia="Calibri" w:ascii="Calibri"/>
          <w:b w:val="1"/>
        </w:rPr>
        <w:t xml:space="preserve"> </w:t>
      </w:r>
    </w:p>
    <w:tbl>
      <w:tblPr>
        <w:tblStyle w:val="TableGrid"/>
        <w:tblW w:w="8855" w:type="dxa"/>
        <w:tblInd w:w="-106" w:type="dxa"/>
        <w:tblCellMar>
          <w:top w:w="0" w:type="dxa"/>
          <w:left w:w="0" w:type="dxa"/>
          <w:bottom w:w="0" w:type="dxa"/>
          <w:right w:w="58" w:type="dxa"/>
        </w:tblCellMar>
      </w:tblPr>
      <w:tblGrid>
        <w:gridCol w:w="8855"/>
      </w:tblGrid>
      <w:tr>
        <w:trPr>
          <w:trHeight w:val="962"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38" w:line="259" w:lineRule="auto"/>
              <w:ind w:left="0" w:right="0" w:firstLine="0"/>
              <w:jc w:val="left"/>
            </w:pPr>
            <w:r>
              <w:rPr>
                <w:rFonts w:cs="Calibri" w:hAnsi="Calibri" w:eastAsia="Calibri" w:ascii="Calibri"/>
                <w:b w:val="1"/>
              </w:rPr>
              <w:t xml:space="preserve">III. Functions / Key Results Expected</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i w:val="1"/>
              </w:rPr>
              <w:t xml:space="preserve"> </w:t>
            </w:r>
          </w:p>
        </w:tc>
      </w:tr>
      <w:tr>
        <w:trPr>
          <w:trHeight w:val="2162"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Summary of Key Functions:</w:t>
            </w:r>
            <w:r>
              <w:rPr>
                <w:rFonts w:cs="Calibri" w:hAnsi="Calibri" w:eastAsia="Calibri" w:ascii="Calibri"/>
                <w:b w:val="1"/>
              </w:rPr>
              <w:t xml:space="preserve"> </w:t>
            </w:r>
          </w:p>
          <w:p>
            <w:pPr>
              <w:spacing w:before="0" w:after="12" w:line="259" w:lineRule="auto"/>
              <w:ind w:left="0" w:right="0" w:firstLine="0"/>
              <w:jc w:val="left"/>
            </w:pPr>
            <w:r>
              <w:rPr>
                <w:rFonts w:cs="Calibri" w:hAnsi="Calibri" w:eastAsia="Calibri" w:ascii="Calibri"/>
                <w:b w:val="1"/>
              </w:rPr>
              <w:t xml:space="preserve"> </w:t>
            </w:r>
          </w:p>
          <w:p>
            <w:pPr>
              <w:numPr>
                <w:ilvl w:val="0"/>
                <w:numId w:val="52"/>
              </w:numPr>
              <w:spacing w:before="0" w:after="12" w:line="259" w:lineRule="auto"/>
              <w:ind w:left="360" w:right="0" w:hanging="360"/>
              <w:jc w:val="left"/>
            </w:pPr>
            <w:r>
              <w:rPr/>
              <w:t xml:space="preserve">Human Resources Management and supervision of the HR team</w:t>
            </w:r>
            <w:r>
              <w:rPr/>
              <w:t xml:space="preserve"> </w:t>
            </w:r>
          </w:p>
          <w:p>
            <w:pPr>
              <w:numPr>
                <w:ilvl w:val="0"/>
                <w:numId w:val="52"/>
              </w:numPr>
              <w:spacing w:before="0" w:after="12" w:line="259" w:lineRule="auto"/>
              <w:ind w:left="360" w:right="0" w:hanging="360"/>
              <w:jc w:val="left"/>
            </w:pPr>
            <w:r>
              <w:rPr/>
              <w:t xml:space="preserve">Efficient procurement and logistical services and supervision of the Procurement team  </w:t>
            </w:r>
            <w:r>
              <w:rPr/>
              <w:t xml:space="preserve"> </w:t>
            </w:r>
          </w:p>
          <w:p>
            <w:pPr>
              <w:numPr>
                <w:ilvl w:val="0"/>
                <w:numId w:val="52"/>
              </w:numPr>
              <w:spacing w:before="0" w:after="0" w:line="240" w:lineRule="auto"/>
              <w:ind w:left="360" w:right="0" w:hanging="360"/>
              <w:jc w:val="left"/>
            </w:pPr>
            <w:r>
              <w:rPr/>
              <w:t xml:space="preserve">Common services organization and management, establishment of partnerships with other UN Agencies</w:t>
            </w:r>
            <w:r>
              <w:rPr/>
              <w:t xml:space="preserve"> </w:t>
            </w:r>
          </w:p>
          <w:p>
            <w:pPr>
              <w:spacing w:before="0" w:after="0" w:line="259" w:lineRule="auto"/>
              <w:ind w:left="0" w:right="0" w:firstLine="0"/>
              <w:jc w:val="left"/>
            </w:pPr>
            <w:r>
              <w:rPr>
                <w:rFonts w:cs="Calibri" w:hAnsi="Calibri" w:eastAsia="Calibri" w:ascii="Calibri"/>
                <w:b w:val="1"/>
              </w:rPr>
              <w:t xml:space="preserve"> </w:t>
            </w:r>
          </w:p>
        </w:tc>
      </w:tr>
    </w:tbl>
    <w:tbl>
      <w:tblPr>
        <w:tblStyle w:val="TableGrid"/>
        <w:tblW w:w="8855" w:type="dxa"/>
        <w:tblInd w:w="-107" w:type="dxa"/>
        <w:tblCellMar>
          <w:top w:w="0" w:type="dxa"/>
          <w:left w:w="0" w:type="dxa"/>
          <w:bottom w:w="0" w:type="dxa"/>
          <w:right w:w="58" w:type="dxa"/>
        </w:tblCellMar>
      </w:tblPr>
      <w:tblGrid>
        <w:gridCol w:w="827"/>
        <w:gridCol w:w="8028"/>
      </w:tblGrid>
      <w:tr>
        <w:trPr>
          <w:trHeight w:val="279" w:hRule="atLeast"/>
        </w:trPr>
        <w:tc>
          <w:tcPr>
            <w:tcW w:w="827" w:type="dxa"/>
            <w:tcBorders>
              <w:top w:val="single" w:sz="4" w:color="000000"/>
              <w:left w:val="single" w:sz="4" w:color="000000"/>
              <w:bottom w:val="single" w:sz="4" w:color="000000"/>
              <w:right w:val="nil"/>
            </w:tcBorders>
            <w:vAlign w:val="bottom"/>
          </w:tcPr>
          <w:p>
            <w:pPr>
              <w:bidi w:val="0"/>
              <w:spacing w:before="0" w:after="160" w:line="259" w:lineRule="auto"/>
              <w:ind w:left="0" w:right="0" w:firstLine="0"/>
              <w:jc w:val="left"/>
            </w:pPr>
          </w:p>
        </w:tc>
        <w:tc>
          <w:tcPr>
            <w:tcW w:w="8028" w:type="dxa"/>
            <w:tcBorders>
              <w:top w:val="single" w:sz="4" w:color="000000"/>
              <w:left w:val="nil"/>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tc>
      </w:tr>
      <w:tr>
        <w:trPr>
          <w:trHeight w:val="1085" w:hRule="atLeast"/>
        </w:trPr>
        <w:tc>
          <w:tcPr>
            <w:tcW w:w="827" w:type="dxa"/>
            <w:tcBorders>
              <w:top w:val="single" w:sz="4" w:color="000000"/>
              <w:left w:val="single" w:sz="4" w:color="000000"/>
              <w:bottom w:val="single" w:sz="4" w:color="000000"/>
              <w:right w:val="nil"/>
            </w:tcBorders>
            <w:vAlign w:val="top"/>
          </w:tcPr>
          <w:p>
            <w:pPr>
              <w:spacing w:before="0" w:after="520" w:line="259" w:lineRule="auto"/>
              <w:ind w:left="108" w:right="0" w:firstLine="0"/>
              <w:jc w:val="left"/>
            </w:pPr>
            <w:r>
              <w:rPr>
                <w:rFonts w:cs="Calibri" w:hAnsi="Calibri" w:eastAsia="Calibri" w:ascii="Calibri"/>
                <w:b w:val="1"/>
              </w:rPr>
              <w:t xml:space="preserve">2</w:t>
            </w:r>
            <w:r>
              <w:rPr>
                <w:rFonts w:cs="Arial" w:hAnsi="Arial" w:eastAsia="Arial" w:ascii="Arial"/>
                <w:b w:val="1"/>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8028" w:type="dxa"/>
            <w:tcBorders>
              <w:top w:val="single" w:sz="4" w:color="000000"/>
              <w:left w:val="nil"/>
              <w:bottom w:val="single" w:sz="4" w:color="000000"/>
              <w:right w:val="single" w:sz="4" w:color="000000"/>
            </w:tcBorders>
            <w:vAlign w:val="top"/>
          </w:tcPr>
          <w:p>
            <w:pPr>
              <w:spacing w:before="0" w:after="0" w:line="259" w:lineRule="auto"/>
              <w:ind w:left="0" w:right="55" w:firstLine="0"/>
            </w:pPr>
            <w:r>
              <w:rPr>
                <w:rFonts w:cs="Calibri" w:hAnsi="Calibri" w:eastAsia="Calibri" w:ascii="Calibri"/>
                <w:b w:val="1"/>
              </w:rPr>
              <w:t xml:space="preserve">Provides strategic and expert support to the CO team to ensure effective, efficient, timely and value for money operational support to the project and its national democratic development goals</w:t>
            </w:r>
            <w:r>
              <w:rPr>
                <w:rFonts w:cs="Calibri" w:hAnsi="Calibri" w:eastAsia="Calibri" w:ascii="Calibri"/>
                <w:b w:val="1"/>
              </w:rPr>
              <w:t xml:space="preserve"> </w:t>
            </w:r>
          </w:p>
        </w:tc>
      </w:tr>
      <w:tr>
        <w:trPr>
          <w:trHeight w:val="696" w:hRule="atLeast"/>
        </w:trPr>
        <w:tc>
          <w:tcPr>
            <w:tcW w:w="827" w:type="dxa"/>
            <w:tcBorders>
              <w:top w:val="single" w:sz="4" w:color="000000"/>
              <w:left w:val="single" w:sz="4" w:color="000000"/>
              <w:bottom w:val="nil"/>
              <w:right w:val="nil"/>
            </w:tcBorders>
            <w:vAlign w:val="bottom"/>
          </w:tcPr>
          <w:p>
            <w:pPr>
              <w:spacing w:before="0" w:after="251" w:line="259" w:lineRule="auto"/>
              <w:ind w:left="108" w:right="0" w:firstLine="0"/>
              <w:jc w:val="left"/>
            </w:pPr>
            <w:r>
              <w:rPr>
                <w:rFonts w:cs="Calibri" w:hAnsi="Calibri" w:eastAsia="Calibri" w:ascii="Calibri"/>
                <w:b w:val="1"/>
              </w:rPr>
              <w:t xml:space="preserve">3</w:t>
            </w:r>
            <w:r>
              <w:rPr>
                <w:rFonts w:cs="Arial" w:hAnsi="Arial" w:eastAsia="Arial" w:ascii="Arial"/>
                <w:b w:val="1"/>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8028" w:type="dxa"/>
            <w:tcBorders>
              <w:top w:val="single" w:sz="4" w:color="000000"/>
              <w:left w:val="nil"/>
              <w:bottom w:val="nil"/>
              <w:right w:val="single" w:sz="4" w:color="000000"/>
            </w:tcBorders>
            <w:vAlign w:val="top"/>
          </w:tcPr>
          <w:p>
            <w:pPr>
              <w:spacing w:before="0" w:after="0" w:line="259" w:lineRule="auto"/>
              <w:ind w:left="0" w:right="0" w:firstLine="0"/>
            </w:pPr>
            <w:r>
              <w:rPr>
                <w:rFonts w:cs="Calibri" w:hAnsi="Calibri" w:eastAsia="Calibri" w:ascii="Calibri"/>
                <w:b w:val="1"/>
              </w:rPr>
              <w:t xml:space="preserve">Ensures strategic </w:t>
            </w:r>
            <w:r>
              <w:rPr>
                <w:rFonts w:cs="Calibri" w:hAnsi="Calibri" w:eastAsia="Calibri" w:ascii="Calibri"/>
                <w:b w:val="1"/>
                <w:i w:val="1"/>
              </w:rPr>
              <w:t xml:space="preserve">human resources management </w:t>
            </w:r>
            <w:r>
              <w:rPr>
                <w:rFonts w:cs="Calibri" w:hAnsi="Calibri" w:eastAsia="Calibri" w:ascii="Calibri"/>
                <w:b w:val="1"/>
              </w:rPr>
              <w:t xml:space="preserve">focusing on achievement of the following results:</w:t>
            </w:r>
            <w:r>
              <w:rPr>
                <w:rFonts w:cs="Calibri" w:hAnsi="Calibri" w:eastAsia="Calibri" w:ascii="Calibri"/>
                <w:b w:val="1"/>
              </w:rPr>
              <w:t xml:space="preserve"> </w:t>
            </w:r>
          </w:p>
        </w:tc>
      </w:tr>
      <w:tr>
        <w:trPr>
          <w:trHeight w:val="403" w:hRule="atLeast"/>
        </w:trPr>
        <w:tc>
          <w:tcPr>
            <w:tcW w:w="827" w:type="dxa"/>
            <w:tcBorders>
              <w:top w:val="nil"/>
              <w:left w:val="single" w:sz="4" w:color="000000"/>
              <w:bottom w:val="nil"/>
              <w:right w:val="nil"/>
            </w:tcBorders>
            <w:vAlign w:val="bottom"/>
          </w:tcPr>
          <w:p>
            <w:pPr>
              <w:spacing w:before="0" w:after="0" w:line="259" w:lineRule="auto"/>
              <w:ind w:left="108" w:right="0" w:firstLine="0"/>
              <w:jc w:val="left"/>
            </w:pPr>
            <w:r>
              <w:rPr/>
              <w:t xml:space="preserve">3.3</w:t>
            </w:r>
            <w:r>
              <w:rPr>
                <w:rFonts w:cs="Arial" w:hAnsi="Arial" w:eastAsia="Arial" w:ascii="Arial"/>
              </w:rPr>
              <w:t xml:space="preserve"> </w:t>
            </w:r>
          </w:p>
        </w:tc>
        <w:tc>
          <w:tcPr>
            <w:tcW w:w="8028" w:type="dxa"/>
            <w:tcBorders>
              <w:top w:val="nil"/>
              <w:left w:val="nil"/>
              <w:bottom w:val="nil"/>
              <w:right w:val="single" w:sz="4" w:color="000000"/>
            </w:tcBorders>
            <w:vAlign w:val="bottom"/>
          </w:tcPr>
          <w:p>
            <w:pPr>
              <w:spacing w:before="0" w:after="0" w:line="259" w:lineRule="auto"/>
              <w:ind w:left="0" w:right="0" w:firstLine="0"/>
              <w:jc w:val="left"/>
            </w:pPr>
            <w:r>
              <w:rPr/>
              <w:t xml:space="preserve">CO compliance with corporate human resources policies and strategies.</w:t>
            </w:r>
            <w:r>
              <w:rPr/>
              <w:t xml:space="preserve"> </w:t>
            </w:r>
          </w:p>
        </w:tc>
      </w:tr>
      <w:tr>
        <w:trPr>
          <w:trHeight w:val="268" w:hRule="atLeast"/>
        </w:trPr>
        <w:tc>
          <w:tcPr>
            <w:tcW w:w="827" w:type="dxa"/>
            <w:tcBorders>
              <w:top w:val="nil"/>
              <w:left w:val="single" w:sz="4" w:color="000000"/>
              <w:bottom w:val="nil"/>
              <w:right w:val="nil"/>
            </w:tcBorders>
            <w:vAlign w:val="top"/>
          </w:tcPr>
          <w:p>
            <w:pPr>
              <w:spacing w:before="0" w:after="0" w:line="259" w:lineRule="auto"/>
              <w:ind w:left="108" w:right="0" w:firstLine="0"/>
              <w:jc w:val="left"/>
            </w:pPr>
            <w:r>
              <w:rPr/>
              <w:t xml:space="preserve">3.4</w:t>
            </w:r>
            <w:r>
              <w:rPr>
                <w:rFonts w:cs="Arial" w:hAnsi="Arial" w:eastAsia="Arial" w:ascii="Arial"/>
              </w:rPr>
              <w:t xml:space="preserve"> </w:t>
            </w:r>
          </w:p>
        </w:tc>
        <w:tc>
          <w:tcPr>
            <w:tcW w:w="8028" w:type="dxa"/>
            <w:tcBorders>
              <w:top w:val="nil"/>
              <w:left w:val="nil"/>
              <w:bottom w:val="nil"/>
              <w:right w:val="single" w:sz="4" w:color="000000"/>
            </w:tcBorders>
            <w:vAlign w:val="top"/>
          </w:tcPr>
          <w:p>
            <w:pPr>
              <w:spacing w:before="0" w:after="0" w:line="259" w:lineRule="auto"/>
              <w:ind w:left="0" w:right="0" w:firstLine="0"/>
              <w:jc w:val="left"/>
            </w:pPr>
            <w:r>
              <w:rPr/>
              <w:t xml:space="preserve">Optimal staffing of the project.</w:t>
            </w:r>
            <w:r>
              <w:rPr/>
              <w:t xml:space="preserve"> </w:t>
            </w:r>
          </w:p>
        </w:tc>
      </w:tr>
      <w:tr>
        <w:trPr>
          <w:trHeight w:val="806" w:hRule="atLeast"/>
        </w:trPr>
        <w:tc>
          <w:tcPr>
            <w:tcW w:w="827" w:type="dxa"/>
            <w:tcBorders>
              <w:top w:val="nil"/>
              <w:left w:val="single" w:sz="4" w:color="000000"/>
              <w:bottom w:val="nil"/>
              <w:right w:val="nil"/>
            </w:tcBorders>
            <w:vAlign w:val="top"/>
          </w:tcPr>
          <w:p>
            <w:pPr>
              <w:spacing w:before="0" w:after="0" w:line="259" w:lineRule="auto"/>
              <w:ind w:left="108" w:right="0" w:firstLine="0"/>
              <w:jc w:val="left"/>
            </w:pPr>
            <w:r>
              <w:rPr/>
              <w:t xml:space="preserve">3.5</w:t>
            </w:r>
            <w:r>
              <w:rPr>
                <w:rFonts w:cs="Arial" w:hAnsi="Arial" w:eastAsia="Arial" w:ascii="Arial"/>
              </w:rPr>
              <w:t xml:space="preserve"> </w:t>
            </w:r>
          </w:p>
        </w:tc>
        <w:tc>
          <w:tcPr>
            <w:tcW w:w="8028" w:type="dxa"/>
            <w:tcBorders>
              <w:top w:val="nil"/>
              <w:left w:val="nil"/>
              <w:bottom w:val="nil"/>
              <w:right w:val="single" w:sz="4" w:color="000000"/>
            </w:tcBorders>
            <w:vAlign w:val="top"/>
          </w:tcPr>
          <w:p>
            <w:pPr>
              <w:spacing w:before="0" w:after="0" w:line="259" w:lineRule="auto"/>
              <w:ind w:left="0" w:right="52" w:firstLine="0"/>
            </w:pPr>
            <w:r>
              <w:rPr/>
              <w:t xml:space="preserve">Oversight of recruitment processes in accordance with UNDP rules and regulations, appropriate use of different contractual modalities, contracts management, OM performing the function of HR Manager in Atlas.</w:t>
            </w:r>
            <w:r>
              <w:rPr/>
              <w:t xml:space="preserve"> </w:t>
            </w:r>
          </w:p>
        </w:tc>
      </w:tr>
      <w:tr>
        <w:trPr>
          <w:trHeight w:val="1061" w:hRule="atLeast"/>
        </w:trPr>
        <w:tc>
          <w:tcPr>
            <w:tcW w:w="827" w:type="dxa"/>
            <w:tcBorders>
              <w:top w:val="nil"/>
              <w:left w:val="single" w:sz="4" w:color="000000"/>
              <w:bottom w:val="single" w:sz="4" w:color="000000"/>
              <w:right w:val="nil"/>
            </w:tcBorders>
            <w:vAlign w:val="top"/>
          </w:tcPr>
          <w:p>
            <w:pPr>
              <w:spacing w:before="0" w:after="518" w:line="259" w:lineRule="auto"/>
              <w:ind w:left="108" w:right="0" w:firstLine="0"/>
              <w:jc w:val="left"/>
            </w:pPr>
            <w:r>
              <w:rPr/>
              <w:t xml:space="preserve">3.6</w:t>
            </w:r>
            <w:r>
              <w:rPr>
                <w:rFonts w:cs="Arial" w:hAnsi="Arial" w:eastAsia="Arial" w:ascii="Arial"/>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8028" w:type="dxa"/>
            <w:tcBorders>
              <w:top w:val="nil"/>
              <w:left w:val="nil"/>
              <w:bottom w:val="single" w:sz="4" w:color="000000"/>
              <w:right w:val="single" w:sz="4" w:color="000000"/>
            </w:tcBorders>
            <w:vAlign w:val="top"/>
          </w:tcPr>
          <w:p>
            <w:pPr>
              <w:spacing w:before="0" w:after="0" w:line="259" w:lineRule="auto"/>
              <w:ind w:left="0" w:right="51" w:firstLine="0"/>
            </w:pPr>
            <w:r>
              <w:rPr/>
              <w:t xml:space="preserve">Establishment and maintenance of the proper performance management and staff development systems. Implementation of the Universal Access strategy on learning ensuring access of the staff to role appropriate learning activities.</w:t>
            </w:r>
            <w:r>
              <w:rPr/>
              <w:t xml:space="preserve"> </w:t>
            </w:r>
          </w:p>
        </w:tc>
      </w:tr>
      <w:tr>
        <w:trPr>
          <w:trHeight w:val="696" w:hRule="atLeast"/>
        </w:trPr>
        <w:tc>
          <w:tcPr>
            <w:tcW w:w="827" w:type="dxa"/>
            <w:tcBorders>
              <w:top w:val="single" w:sz="4" w:color="000000"/>
              <w:left w:val="single" w:sz="4" w:color="000000"/>
              <w:bottom w:val="nil"/>
              <w:right w:val="nil"/>
            </w:tcBorders>
            <w:vAlign w:val="top"/>
          </w:tcPr>
          <w:p>
            <w:pPr>
              <w:spacing w:before="0" w:after="0" w:line="259" w:lineRule="auto"/>
              <w:ind w:left="108" w:right="0" w:firstLine="0"/>
              <w:jc w:val="left"/>
            </w:pPr>
            <w:r>
              <w:rPr>
                <w:rFonts w:cs="Calibri" w:hAnsi="Calibri" w:eastAsia="Calibri" w:ascii="Calibri"/>
                <w:b w:val="1"/>
              </w:rPr>
              <w:t xml:space="preserve">4</w:t>
            </w:r>
            <w:r>
              <w:rPr>
                <w:rFonts w:cs="Arial" w:hAnsi="Arial" w:eastAsia="Arial" w:ascii="Arial"/>
                <w:b w:val="1"/>
              </w:rPr>
              <w:t xml:space="preserve"> </w:t>
            </w:r>
          </w:p>
        </w:tc>
        <w:tc>
          <w:tcPr>
            <w:tcW w:w="8028" w:type="dxa"/>
            <w:tcBorders>
              <w:top w:val="single" w:sz="4" w:color="000000"/>
              <w:left w:val="nil"/>
              <w:bottom w:val="nil"/>
              <w:right w:val="single" w:sz="4" w:color="000000"/>
            </w:tcBorders>
            <w:vAlign w:val="top"/>
          </w:tcPr>
          <w:p>
            <w:pPr>
              <w:spacing w:before="0" w:after="0" w:line="259" w:lineRule="auto"/>
              <w:ind w:left="0" w:right="0" w:firstLine="0"/>
            </w:pPr>
            <w:r>
              <w:rPr>
                <w:rFonts w:cs="Calibri" w:hAnsi="Calibri" w:eastAsia="Calibri" w:ascii="Calibri"/>
                <w:b w:val="1"/>
              </w:rPr>
              <w:t xml:space="preserve">Ensures provision of </w:t>
            </w:r>
            <w:r>
              <w:rPr>
                <w:rFonts w:cs="Calibri" w:hAnsi="Calibri" w:eastAsia="Calibri" w:ascii="Calibri"/>
                <w:b w:val="1"/>
                <w:i w:val="1"/>
              </w:rPr>
              <w:t xml:space="preserve">efficient procurement and logistical services </w:t>
            </w:r>
            <w:r>
              <w:rPr>
                <w:rFonts w:cs="Calibri" w:hAnsi="Calibri" w:eastAsia="Calibri" w:ascii="Calibri"/>
                <w:b w:val="1"/>
              </w:rPr>
              <w:t xml:space="preserve">focusing on achievement of the following results:</w:t>
            </w:r>
            <w:r>
              <w:rPr>
                <w:rFonts w:cs="Calibri" w:hAnsi="Calibri" w:eastAsia="Calibri" w:ascii="Calibri"/>
                <w:b w:val="1"/>
              </w:rPr>
              <w:t xml:space="preserve"> </w:t>
            </w:r>
          </w:p>
        </w:tc>
      </w:tr>
      <w:tr>
        <w:trPr>
          <w:trHeight w:val="1207" w:hRule="atLeast"/>
        </w:trPr>
        <w:tc>
          <w:tcPr>
            <w:tcW w:w="827" w:type="dxa"/>
            <w:tcBorders>
              <w:top w:val="nil"/>
              <w:left w:val="single" w:sz="4" w:color="000000"/>
              <w:bottom w:val="nil"/>
              <w:right w:val="nil"/>
            </w:tcBorders>
            <w:vAlign w:val="top"/>
          </w:tcPr>
          <w:p>
            <w:pPr>
              <w:spacing w:before="0" w:after="6" w:line="259" w:lineRule="auto"/>
              <w:ind w:left="108" w:right="0" w:firstLine="0"/>
              <w:jc w:val="left"/>
            </w:pPr>
            <w:r>
              <w:rPr>
                <w:rFonts w:cs="Calibri" w:hAnsi="Calibri" w:eastAsia="Calibri" w:ascii="Calibri"/>
                <w:b w:val="1"/>
              </w:rPr>
              <w:t xml:space="preserve"> </w:t>
            </w:r>
          </w:p>
          <w:p>
            <w:pPr>
              <w:spacing w:before="0" w:after="0" w:line="259" w:lineRule="auto"/>
              <w:ind w:left="108" w:right="0" w:firstLine="0"/>
              <w:jc w:val="left"/>
            </w:pPr>
            <w:r>
              <w:rPr/>
              <w:t xml:space="preserve">4.3</w:t>
            </w:r>
            <w:r>
              <w:rPr>
                <w:rFonts w:cs="Arial" w:hAnsi="Arial" w:eastAsia="Arial" w:ascii="Arial"/>
              </w:rPr>
              <w:t xml:space="preserve"> </w:t>
            </w:r>
          </w:p>
        </w:tc>
        <w:tc>
          <w:tcPr>
            <w:tcW w:w="8028" w:type="dxa"/>
            <w:tcBorders>
              <w:top w:val="nil"/>
              <w:left w:val="nil"/>
              <w:bottom w:val="nil"/>
              <w:right w:val="single" w:sz="4" w:color="000000"/>
            </w:tcBorders>
            <w:vAlign w:val="bottom"/>
          </w:tcPr>
          <w:p>
            <w:pPr>
              <w:spacing w:before="0" w:after="0" w:line="259" w:lineRule="auto"/>
              <w:ind w:left="0" w:right="48" w:firstLine="0"/>
            </w:pPr>
            <w:r>
              <w:rPr/>
              <w:t xml:space="preserve">CO compliance with corporate rules and regulations in the field and elaboration of the CO  procurement strategies including sourcing strategy, supplier selection and evaluation, quality management, customer relationship management, e</w:t>
            </w:r>
            <w:r>
              <w:rPr/>
              <w:t xml:space="preserve">-</w:t>
            </w:r>
            <w:r>
              <w:rPr/>
              <w:t xml:space="preserve">procurement promotion and introduction, performance measurement.</w:t>
            </w:r>
            <w:r>
              <w:rPr/>
              <w:t xml:space="preserve"> </w:t>
            </w:r>
          </w:p>
        </w:tc>
      </w:tr>
      <w:tr>
        <w:trPr>
          <w:trHeight w:val="1076" w:hRule="atLeast"/>
        </w:trPr>
        <w:tc>
          <w:tcPr>
            <w:tcW w:w="827" w:type="dxa"/>
            <w:tcBorders>
              <w:top w:val="nil"/>
              <w:left w:val="single" w:sz="4" w:color="000000"/>
              <w:bottom w:val="nil"/>
              <w:right w:val="nil"/>
            </w:tcBorders>
            <w:vAlign w:val="top"/>
          </w:tcPr>
          <w:p>
            <w:pPr>
              <w:spacing w:before="0" w:after="0" w:line="259" w:lineRule="auto"/>
              <w:ind w:left="108" w:right="0" w:firstLine="0"/>
              <w:jc w:val="left"/>
            </w:pPr>
            <w:r>
              <w:rPr/>
              <w:t xml:space="preserve">4.4</w:t>
            </w:r>
            <w:r>
              <w:rPr>
                <w:rFonts w:cs="Arial" w:hAnsi="Arial" w:eastAsia="Arial" w:ascii="Arial"/>
              </w:rPr>
              <w:t xml:space="preserve"> </w:t>
            </w:r>
          </w:p>
        </w:tc>
        <w:tc>
          <w:tcPr>
            <w:tcW w:w="8028" w:type="dxa"/>
            <w:tcBorders>
              <w:top w:val="nil"/>
              <w:left w:val="nil"/>
              <w:bottom w:val="nil"/>
              <w:right w:val="single" w:sz="4" w:color="000000"/>
            </w:tcBorders>
            <w:vAlign w:val="top"/>
          </w:tcPr>
          <w:p>
            <w:pPr>
              <w:spacing w:before="0" w:after="0" w:line="259" w:lineRule="auto"/>
              <w:ind w:left="0" w:right="53" w:firstLine="0"/>
            </w:pPr>
            <w:r>
              <w:rPr/>
              <w:t xml:space="preserve">Elaboration of the CO contract strategy including tendering processes and evaluation, managing the contract and contractor, legal implications. Oversight of procurement processes and logistical services in accordance with UNDP rules and regulations, OM acting as Manager Level 2 in Atlas for Purchase orders approvals.</w:t>
            </w:r>
            <w:r>
              <w:rPr/>
              <w:t xml:space="preserve"> </w:t>
            </w:r>
          </w:p>
        </w:tc>
      </w:tr>
      <w:tr>
        <w:trPr>
          <w:trHeight w:val="790" w:hRule="atLeast"/>
        </w:trPr>
        <w:tc>
          <w:tcPr>
            <w:tcW w:w="827" w:type="dxa"/>
            <w:tcBorders>
              <w:top w:val="nil"/>
              <w:left w:val="single" w:sz="4" w:color="000000"/>
              <w:bottom w:val="single" w:sz="4" w:color="000000"/>
              <w:right w:val="nil"/>
            </w:tcBorders>
            <w:vAlign w:val="top"/>
          </w:tcPr>
          <w:p>
            <w:pPr>
              <w:spacing w:before="0" w:after="0" w:line="259" w:lineRule="auto"/>
              <w:ind w:left="108" w:right="0" w:firstLine="0"/>
              <w:jc w:val="left"/>
            </w:pPr>
            <w:r>
              <w:rPr/>
              <w:t xml:space="preserve">4.5</w:t>
            </w:r>
            <w:r>
              <w:rPr>
                <w:rFonts w:cs="Arial" w:hAnsi="Arial" w:eastAsia="Arial" w:ascii="Arial"/>
              </w:rPr>
              <w:t xml:space="preserve"> </w:t>
            </w:r>
          </w:p>
        </w:tc>
        <w:tc>
          <w:tcPr>
            <w:tcW w:w="8028" w:type="dxa"/>
            <w:tcBorders>
              <w:top w:val="nil"/>
              <w:left w:val="nil"/>
              <w:bottom w:val="single" w:sz="4" w:color="000000"/>
              <w:right w:val="single" w:sz="4" w:color="000000"/>
            </w:tcBorders>
            <w:vAlign w:val="top"/>
          </w:tcPr>
          <w:p>
            <w:pPr>
              <w:spacing w:before="0" w:after="0" w:line="259" w:lineRule="auto"/>
              <w:ind w:left="0" w:right="52" w:firstLine="0"/>
            </w:pPr>
            <w:r>
              <w:rPr/>
              <w:t xml:space="preserve">Proper management of UNDP assets, facilities and logistical services, including full compliance with IPSAS in the accounting for the procurement, utilization and disposal of the CO’s assets. </w:t>
            </w:r>
            <w:r>
              <w:rPr/>
              <w:t xml:space="preserve"> </w:t>
            </w:r>
          </w:p>
        </w:tc>
      </w:tr>
      <w:tr>
        <w:trPr>
          <w:trHeight w:val="697" w:hRule="atLeast"/>
        </w:trPr>
        <w:tc>
          <w:tcPr>
            <w:tcW w:w="827" w:type="dxa"/>
            <w:tcBorders>
              <w:top w:val="single" w:sz="4" w:color="000000"/>
              <w:left w:val="single" w:sz="4" w:color="000000"/>
              <w:bottom w:val="nil"/>
              <w:right w:val="nil"/>
            </w:tcBorders>
            <w:vAlign w:val="bottom"/>
          </w:tcPr>
          <w:p>
            <w:pPr>
              <w:spacing w:before="0" w:after="249" w:line="259" w:lineRule="auto"/>
              <w:ind w:left="108" w:right="0" w:firstLine="0"/>
              <w:jc w:val="left"/>
            </w:pPr>
            <w:r>
              <w:rPr>
                <w:rFonts w:cs="Calibri" w:hAnsi="Calibri" w:eastAsia="Calibri" w:ascii="Calibri"/>
                <w:b w:val="1"/>
              </w:rPr>
              <w:t xml:space="preserve">5</w:t>
            </w:r>
            <w:r>
              <w:rPr>
                <w:rFonts w:cs="Arial" w:hAnsi="Arial" w:eastAsia="Arial" w:ascii="Arial"/>
                <w:b w:val="1"/>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8028" w:type="dxa"/>
            <w:tcBorders>
              <w:top w:val="single" w:sz="4" w:color="000000"/>
              <w:left w:val="nil"/>
              <w:bottom w:val="nil"/>
              <w:right w:val="single" w:sz="4" w:color="000000"/>
            </w:tcBorders>
            <w:vAlign w:val="top"/>
          </w:tcPr>
          <w:p>
            <w:pPr>
              <w:spacing w:before="0" w:after="0" w:line="259" w:lineRule="auto"/>
              <w:ind w:left="0" w:right="0" w:firstLine="0"/>
            </w:pPr>
            <w:r>
              <w:rPr>
                <w:rFonts w:cs="Calibri" w:hAnsi="Calibri" w:eastAsia="Calibri" w:ascii="Calibri"/>
                <w:b w:val="1"/>
              </w:rPr>
              <w:t xml:space="preserve">Ensures proper </w:t>
            </w:r>
            <w:r>
              <w:rPr>
                <w:rFonts w:cs="Calibri" w:hAnsi="Calibri" w:eastAsia="Calibri" w:ascii="Calibri"/>
                <w:b w:val="1"/>
                <w:i w:val="1"/>
              </w:rPr>
              <w:t xml:space="preserve">common services organization and management, establishment of partnerships with other UN Agencies </w:t>
            </w:r>
            <w:r>
              <w:rPr>
                <w:rFonts w:cs="Calibri" w:hAnsi="Calibri" w:eastAsia="Calibri" w:ascii="Calibri"/>
                <w:b w:val="1"/>
              </w:rPr>
              <w:t xml:space="preserve">focusing on achievement of the following results:</w:t>
            </w:r>
            <w:r>
              <w:rPr>
                <w:rFonts w:cs="Calibri" w:hAnsi="Calibri" w:eastAsia="Calibri" w:ascii="Calibri"/>
                <w:b w:val="1"/>
              </w:rPr>
              <w:t xml:space="preserve"> </w:t>
            </w:r>
          </w:p>
        </w:tc>
      </w:tr>
      <w:tr>
        <w:trPr>
          <w:trHeight w:val="671" w:hRule="atLeast"/>
        </w:trPr>
        <w:tc>
          <w:tcPr>
            <w:tcW w:w="827" w:type="dxa"/>
            <w:tcBorders>
              <w:top w:val="nil"/>
              <w:left w:val="single" w:sz="4" w:color="000000"/>
              <w:bottom w:val="nil"/>
              <w:right w:val="nil"/>
            </w:tcBorders>
            <w:vAlign w:val="top"/>
          </w:tcPr>
          <w:p>
            <w:pPr>
              <w:spacing w:before="0" w:after="0" w:line="259" w:lineRule="auto"/>
              <w:ind w:left="108" w:right="0" w:firstLine="0"/>
              <w:jc w:val="left"/>
            </w:pPr>
            <w:r>
              <w:rPr/>
              <w:t xml:space="preserve">5.3</w:t>
            </w:r>
            <w:r>
              <w:rPr>
                <w:rFonts w:cs="Arial" w:hAnsi="Arial" w:eastAsia="Arial" w:ascii="Arial"/>
              </w:rPr>
              <w:t xml:space="preserve"> </w:t>
            </w:r>
          </w:p>
        </w:tc>
        <w:tc>
          <w:tcPr>
            <w:tcW w:w="8028" w:type="dxa"/>
            <w:tcBorders>
              <w:top w:val="nil"/>
              <w:left w:val="nil"/>
              <w:bottom w:val="nil"/>
              <w:right w:val="single" w:sz="4" w:color="000000"/>
            </w:tcBorders>
            <w:vAlign w:val="bottom"/>
          </w:tcPr>
          <w:p>
            <w:pPr>
              <w:spacing w:before="0" w:after="0" w:line="259" w:lineRule="auto"/>
              <w:ind w:left="0" w:right="0" w:firstLine="0"/>
            </w:pPr>
            <w:r>
              <w:rPr/>
              <w:t xml:space="preserve">Elaboration of the strategic approach for implementation of common services in line with the latest developments in common services and the best practices.</w:t>
            </w:r>
            <w:r>
              <w:rPr/>
              <w:t xml:space="preserve"> </w:t>
            </w:r>
          </w:p>
        </w:tc>
      </w:tr>
      <w:tr>
        <w:trPr>
          <w:trHeight w:val="793" w:hRule="atLeast"/>
        </w:trPr>
        <w:tc>
          <w:tcPr>
            <w:tcW w:w="827" w:type="dxa"/>
            <w:tcBorders>
              <w:top w:val="nil"/>
              <w:left w:val="single" w:sz="4" w:color="000000"/>
              <w:bottom w:val="single" w:sz="4" w:color="000000"/>
              <w:right w:val="nil"/>
            </w:tcBorders>
            <w:vAlign w:val="top"/>
          </w:tcPr>
          <w:p>
            <w:pPr>
              <w:spacing w:before="0" w:after="249" w:line="259" w:lineRule="auto"/>
              <w:ind w:left="108" w:right="0" w:firstLine="0"/>
              <w:jc w:val="left"/>
            </w:pPr>
            <w:r>
              <w:rPr/>
              <w:t xml:space="preserve">5.4</w:t>
            </w:r>
            <w:r>
              <w:rPr>
                <w:rFonts w:cs="Arial" w:hAnsi="Arial" w:eastAsia="Arial" w:ascii="Arial"/>
              </w:rPr>
              <w:t xml:space="preserve"> </w:t>
            </w:r>
          </w:p>
          <w:p>
            <w:pPr>
              <w:spacing w:before="0" w:after="0" w:line="259" w:lineRule="auto"/>
              <w:ind w:left="108" w:right="0" w:firstLine="0"/>
              <w:jc w:val="left"/>
            </w:pPr>
            <w:r>
              <w:rPr>
                <w:rFonts w:cs="Calibri" w:hAnsi="Calibri" w:eastAsia="Calibri" w:ascii="Calibri"/>
                <w:b w:val="1"/>
              </w:rPr>
              <w:t xml:space="preserve"> </w:t>
            </w:r>
          </w:p>
        </w:tc>
        <w:tc>
          <w:tcPr>
            <w:tcW w:w="8028" w:type="dxa"/>
            <w:tcBorders>
              <w:top w:val="nil"/>
              <w:left w:val="nil"/>
              <w:bottom w:val="single" w:sz="4" w:color="000000"/>
              <w:right w:val="single" w:sz="4" w:color="000000"/>
            </w:tcBorders>
            <w:vAlign w:val="top"/>
          </w:tcPr>
          <w:p>
            <w:pPr>
              <w:spacing w:before="0" w:after="0" w:line="259" w:lineRule="auto"/>
              <w:ind w:left="0" w:right="0" w:firstLine="0"/>
            </w:pPr>
            <w:r>
              <w:rPr/>
              <w:t xml:space="preserve">Proper planning and tracking of common services budget and of Agencies contributions to the common services account.</w:t>
            </w:r>
            <w:r>
              <w:rPr/>
              <w:t xml:space="preserve"> </w:t>
            </w:r>
          </w:p>
        </w:tc>
      </w:tr>
    </w:tbl>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50" w:type="dxa"/>
          <w:left w:w="107" w:type="dxa"/>
          <w:bottom w:w="8" w:type="dxa"/>
          <w:right w:w="60" w:type="dxa"/>
        </w:tblCellMar>
      </w:tblPr>
      <w:tblGrid>
        <w:gridCol w:w="8855"/>
      </w:tblGrid>
      <w:tr>
        <w:trPr>
          <w:trHeight w:val="575"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0" w:line="259" w:lineRule="auto"/>
              <w:ind w:left="0" w:right="0" w:firstLine="0"/>
              <w:jc w:val="left"/>
            </w:pPr>
            <w:r>
              <w:rPr>
                <w:rFonts w:cs="Calibri" w:hAnsi="Calibri" w:eastAsia="Calibri" w:ascii="Calibri"/>
                <w:b w:val="1"/>
                <w:i w:val="1"/>
              </w:rPr>
              <w:t xml:space="preserve">IV. Impact of Results</w:t>
            </w:r>
            <w:r>
              <w:rPr>
                <w:rFonts w:cs="Calibri" w:hAnsi="Calibri" w:eastAsia="Calibri" w:ascii="Calibri"/>
                <w:b w:val="1"/>
                <w:i w:val="1"/>
              </w:rPr>
              <w:t xml:space="preserve"> </w:t>
            </w:r>
          </w:p>
        </w:tc>
      </w:tr>
      <w:tr>
        <w:trPr>
          <w:trHeight w:val="1355"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1" w:line="238" w:lineRule="auto"/>
              <w:ind w:left="0" w:right="50" w:firstLine="0"/>
            </w:pPr>
            <w:r>
              <w:rPr/>
              <w:t xml:space="preserve">The key results have an impact on the overall economy, efficiency, and effectiveness of CO operations as it relates to the use of corporate and donor resources in the delivery of project results. </w:t>
            </w:r>
            <w:r>
              <w:rPr/>
              <w:t xml:space="preserve"> </w:t>
            </w:r>
          </w:p>
          <w:p>
            <w:pPr>
              <w:spacing w:before="0" w:after="0" w:line="259" w:lineRule="auto"/>
              <w:ind w:left="1080" w:right="0" w:firstLine="0"/>
              <w:jc w:val="left"/>
            </w:pP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7" w:type="dxa"/>
          <w:left w:w="107" w:type="dxa"/>
          <w:bottom w:w="0" w:type="dxa"/>
          <w:right w:w="58" w:type="dxa"/>
        </w:tblCellMar>
      </w:tblPr>
      <w:tblGrid>
        <w:gridCol w:w="8855"/>
      </w:tblGrid>
      <w:tr>
        <w:trPr>
          <w:trHeight w:val="696" w:hRule="atLeast"/>
        </w:trPr>
        <w:tc>
          <w:tcPr>
            <w:tcW w:w="8855" w:type="dxa"/>
            <w:tcBorders>
              <w:top w:val="single" w:sz="4" w:color="000000"/>
              <w:left w:val="single" w:sz="4" w:color="000000"/>
              <w:bottom w:val="single" w:sz="4" w:color="000000"/>
              <w:right w:val="single" w:sz="4" w:color="000000"/>
            </w:tcBorders>
            <w:shd w:val="clear" w:fill="e0e0e0"/>
            <w:vAlign w:val="bottom"/>
          </w:tcPr>
          <w:p>
            <w:pPr>
              <w:spacing w:before="0" w:after="0" w:line="259" w:lineRule="auto"/>
              <w:ind w:left="0" w:right="0" w:firstLine="0"/>
              <w:jc w:val="left"/>
            </w:pPr>
            <w:r>
              <w:rPr>
                <w:rFonts w:cs="Calibri" w:hAnsi="Calibri" w:eastAsia="Calibri" w:ascii="Calibri"/>
                <w:b w:val="1"/>
              </w:rPr>
              <w:t xml:space="preserve">V. Competencies and Critical Success Factors</w:t>
            </w:r>
            <w:r>
              <w:rPr>
                <w:rFonts w:cs="Calibri" w:hAnsi="Calibri" w:eastAsia="Calibri" w:ascii="Calibri"/>
                <w:b w:val="1"/>
              </w:rPr>
              <w:t xml:space="preserve"> </w:t>
            </w:r>
          </w:p>
        </w:tc>
      </w:tr>
      <w:tr>
        <w:trPr>
          <w:trHeight w:val="11293" w:hRule="atLeast"/>
        </w:trPr>
        <w:tc>
          <w:tcPr>
            <w:tcW w:w="88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Functional Competencies:</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u w:val="single" w:color="000000"/>
              </w:rPr>
              <w:t xml:space="preserve">Building Partnerships</w:t>
            </w:r>
            <w:r>
              <w:rPr>
                <w:rFonts w:cs="Calibri" w:hAnsi="Calibri" w:eastAsia="Calibri" w:ascii="Calibri"/>
                <w:b w:val="1"/>
              </w:rPr>
              <w:t xml:space="preserve"> </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Level 2: Identifying and building partnerships</w:t>
            </w:r>
            <w:r>
              <w:rPr/>
              <w:t xml:space="preserve"> </w:t>
            </w:r>
          </w:p>
          <w:p>
            <w:pPr>
              <w:numPr>
                <w:ilvl w:val="0"/>
                <w:numId w:val="53"/>
              </w:numPr>
              <w:spacing w:before="0" w:after="0" w:line="259" w:lineRule="auto"/>
              <w:ind w:left="720" w:right="0" w:hanging="720"/>
              <w:jc w:val="left"/>
            </w:pPr>
            <w:r>
              <w:rPr/>
              <w:t xml:space="preserve">Effectively networks with partners seizing opportunities to build alliances </w:t>
            </w:r>
            <w:r>
              <w:rPr/>
              <w:t xml:space="preserve"> </w:t>
            </w:r>
          </w:p>
          <w:p>
            <w:pPr>
              <w:numPr>
                <w:ilvl w:val="0"/>
                <w:numId w:val="53"/>
              </w:numPr>
              <w:spacing w:before="0" w:after="0" w:line="240" w:lineRule="auto"/>
              <w:ind w:left="720" w:right="0" w:hanging="720"/>
              <w:jc w:val="left"/>
            </w:pPr>
            <w:r>
              <w:rPr/>
              <w:t xml:space="preserve">Identifies needs and interventions for capacity building of counterparts, clients and potential partners</w:t>
            </w:r>
            <w:r>
              <w:rPr/>
              <w:t xml:space="preserve"> </w:t>
            </w:r>
          </w:p>
          <w:p>
            <w:pPr>
              <w:numPr>
                <w:ilvl w:val="0"/>
                <w:numId w:val="53"/>
              </w:numPr>
              <w:spacing w:before="0" w:after="2" w:line="238" w:lineRule="auto"/>
              <w:ind w:left="720" w:right="0" w:hanging="720"/>
              <w:jc w:val="left"/>
            </w:pPr>
            <w:r>
              <w:rPr/>
              <w:t xml:space="preserve">Displays initiative, sets challenging outputs for him/herself and willingly accepts new work assignments</w:t>
            </w:r>
            <w:r>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u w:val="single" w:color="000000"/>
              </w:rPr>
              <w:t xml:space="preserve">Promoting Organizational Learning and Knowledge Sharing</w:t>
            </w:r>
            <w:r>
              <w:rPr>
                <w:rFonts w:cs="Calibri" w:hAnsi="Calibri" w:eastAsia="Calibri" w:ascii="Calibri"/>
                <w:b w:val="1"/>
              </w:rPr>
              <w:t xml:space="preserve"> </w:t>
            </w:r>
          </w:p>
          <w:p>
            <w:pPr>
              <w:spacing w:before="0" w:after="0" w:line="259" w:lineRule="auto"/>
              <w:ind w:left="0" w:right="0" w:firstLine="0"/>
              <w:jc w:val="left"/>
            </w:pPr>
            <w:r>
              <w:rPr>
                <w:color w:val="ff0000"/>
              </w:rPr>
              <w:t xml:space="preserve"> </w:t>
            </w:r>
          </w:p>
          <w:p>
            <w:pPr>
              <w:spacing w:before="0" w:after="0" w:line="259" w:lineRule="auto"/>
              <w:ind w:left="0" w:right="0" w:firstLine="0"/>
              <w:jc w:val="left"/>
            </w:pPr>
            <w:r>
              <w:rPr>
                <w:rFonts w:cs="Calibri" w:hAnsi="Calibri" w:eastAsia="Calibri" w:ascii="Calibri"/>
                <w:b w:val="1"/>
              </w:rPr>
              <w:t xml:space="preserve">Level 2: Developing tools and mechanisms</w:t>
            </w:r>
            <w:r>
              <w:rPr/>
              <w:t xml:space="preserve"> </w:t>
            </w:r>
          </w:p>
          <w:p>
            <w:pPr>
              <w:numPr>
                <w:ilvl w:val="0"/>
                <w:numId w:val="53"/>
              </w:numPr>
              <w:spacing w:before="0" w:after="0" w:line="240" w:lineRule="auto"/>
              <w:ind w:left="720" w:right="0" w:hanging="720"/>
              <w:jc w:val="left"/>
            </w:pPr>
            <w:r>
              <w:rPr/>
              <w:t xml:space="preserve">Participates in the development of mechanisms, including identifying new approaches t</w:t>
            </w:r>
            <w:r>
              <w:rPr/>
              <w:t xml:space="preserve">o </w:t>
            </w:r>
            <w:r>
              <w:rPr/>
              <w:t xml:space="preserve">promote individual and organizational learning and knowledge sharing using formal and informal methodologies</w:t>
            </w:r>
            <w:r>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u w:val="single" w:color="000000"/>
              </w:rPr>
              <w:t xml:space="preserve">Job Knowledge/Technical Expertise</w:t>
            </w: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Level 2: In</w:t>
            </w:r>
            <w:r>
              <w:rPr>
                <w:rFonts w:cs="Calibri" w:hAnsi="Calibri" w:eastAsia="Calibri" w:ascii="Calibri"/>
                <w:b w:val="1"/>
              </w:rPr>
              <w:t xml:space="preserve">-</w:t>
            </w:r>
            <w:r>
              <w:rPr>
                <w:rFonts w:cs="Calibri" w:hAnsi="Calibri" w:eastAsia="Calibri" w:ascii="Calibri"/>
                <w:b w:val="1"/>
              </w:rPr>
              <w:t xml:space="preserve">depth knowledge of own discipline</w:t>
            </w:r>
            <w:r>
              <w:rPr/>
              <w:t xml:space="preserve"> </w:t>
            </w:r>
          </w:p>
          <w:p>
            <w:pPr>
              <w:numPr>
                <w:ilvl w:val="0"/>
                <w:numId w:val="53"/>
              </w:numPr>
              <w:spacing w:before="0" w:after="1" w:line="240" w:lineRule="auto"/>
              <w:ind w:left="720" w:right="0" w:hanging="720"/>
              <w:jc w:val="left"/>
            </w:pPr>
            <w:r>
              <w:rPr/>
              <w:t xml:space="preserve">Understands advanced aspects of primary area of specialization as well as the fundamental concepts of related disciplines (financial resources and human resources management, contract, asset and procurement, information and communication technology, general administration)</w:t>
            </w:r>
            <w:r>
              <w:rPr/>
              <w:t xml:space="preserve"> </w:t>
            </w:r>
          </w:p>
          <w:p>
            <w:pPr>
              <w:numPr>
                <w:ilvl w:val="0"/>
                <w:numId w:val="53"/>
              </w:numPr>
              <w:spacing w:before="0" w:after="1" w:line="240" w:lineRule="auto"/>
              <w:ind w:left="720" w:right="0" w:hanging="720"/>
              <w:jc w:val="left"/>
            </w:pPr>
            <w:r>
              <w:rPr/>
              <w:t xml:space="preserve">Continues to seek new and improved methods and systems for accomplishing the work of the unit</w:t>
            </w:r>
            <w:r>
              <w:rPr/>
              <w:t xml:space="preserve"> </w:t>
            </w:r>
          </w:p>
          <w:p>
            <w:pPr>
              <w:numPr>
                <w:ilvl w:val="0"/>
                <w:numId w:val="53"/>
              </w:numPr>
              <w:spacing w:before="0" w:after="3" w:line="238" w:lineRule="auto"/>
              <w:ind w:left="720" w:right="0" w:hanging="720"/>
              <w:jc w:val="left"/>
            </w:pPr>
            <w:r>
              <w:rPr/>
              <w:t xml:space="preserve">Keeps abreast of new developments in area of professional discipline and job knowledge and seeks to develop him/herself professionally</w:t>
            </w:r>
            <w:r>
              <w:rPr/>
              <w:t xml:space="preserve"> </w:t>
            </w:r>
          </w:p>
          <w:p>
            <w:pPr>
              <w:numPr>
                <w:ilvl w:val="0"/>
                <w:numId w:val="53"/>
              </w:numPr>
              <w:spacing w:before="0" w:after="0" w:line="240" w:lineRule="auto"/>
              <w:ind w:left="720" w:right="0" w:hanging="720"/>
              <w:jc w:val="left"/>
            </w:pPr>
            <w:r>
              <w:rPr/>
              <w:t xml:space="preserve">Demonstrates comprehensive knowledge of information technology and applies it in work assignments</w:t>
            </w:r>
            <w:r>
              <w:rPr/>
              <w:t xml:space="preserve"> </w:t>
            </w:r>
          </w:p>
          <w:p>
            <w:pPr>
              <w:numPr>
                <w:ilvl w:val="0"/>
                <w:numId w:val="53"/>
              </w:numPr>
              <w:spacing w:before="0" w:after="0" w:line="259" w:lineRule="auto"/>
              <w:ind w:left="720" w:right="0" w:hanging="720"/>
              <w:jc w:val="left"/>
            </w:pPr>
            <w:r>
              <w:rPr/>
              <w:t xml:space="preserve">Continually looking for ways to enhance financial performance in the office</w:t>
            </w:r>
            <w:r>
              <w:rPr/>
              <w:t xml:space="preserve"> </w:t>
            </w:r>
          </w:p>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u w:val="single" w:color="000000"/>
              </w:rPr>
              <w:t xml:space="preserve">Promoting</w:t>
            </w:r>
            <w:r>
              <w:rPr>
                <w:u w:val="single" w:color="000000"/>
              </w:rPr>
              <w:t xml:space="preserve"> </w:t>
            </w:r>
            <w:r>
              <w:rPr>
                <w:u w:val="single" w:color="000000"/>
              </w:rPr>
              <w:t xml:space="preserve">Organizational</w:t>
            </w:r>
            <w:r>
              <w:rPr>
                <w:u w:val="single" w:color="000000"/>
              </w:rPr>
              <w:t xml:space="preserve"> </w:t>
            </w:r>
            <w:r>
              <w:rPr>
                <w:u w:val="single" w:color="000000"/>
              </w:rPr>
              <w:t xml:space="preserve">Change</w:t>
            </w:r>
            <w:r>
              <w:rPr>
                <w:u w:val="single" w:color="000000"/>
              </w:rPr>
              <w:t xml:space="preserve"> </w:t>
            </w:r>
            <w:r>
              <w:rPr>
                <w:u w:val="single" w:color="000000"/>
              </w:rPr>
              <w:t xml:space="preserve">and</w:t>
            </w:r>
            <w:r>
              <w:rPr>
                <w:u w:val="single" w:color="000000"/>
              </w:rPr>
              <w:t xml:space="preserve"> </w:t>
            </w:r>
            <w:r>
              <w:rPr>
                <w:u w:val="single" w:color="000000"/>
              </w:rPr>
              <w:t xml:space="preserve">Development</w:t>
            </w:r>
            <w:r>
              <w:rPr/>
              <w:t xml:space="preserve"> </w:t>
            </w:r>
          </w:p>
          <w:p>
            <w:pPr>
              <w:spacing w:before="0" w:after="0" w:line="259" w:lineRule="auto"/>
              <w:ind w:left="0" w:right="0" w:firstLine="0"/>
              <w:jc w:val="left"/>
            </w:pPr>
            <w:r>
              <w:rPr>
                <w:rFonts w:cs="Calibri" w:hAnsi="Calibri" w:eastAsia="Calibri" w:ascii="Calibri"/>
                <w:b w:val="1"/>
                <w:color w:val="ff0000"/>
              </w:rPr>
              <w:t xml:space="preserve"> </w:t>
            </w:r>
          </w:p>
          <w:p>
            <w:pPr>
              <w:spacing w:before="0" w:after="0" w:line="259" w:lineRule="auto"/>
              <w:ind w:left="0" w:right="0" w:firstLine="0"/>
              <w:jc w:val="left"/>
            </w:pPr>
            <w:r>
              <w:rPr>
                <w:rFonts w:cs="Calibri" w:hAnsi="Calibri" w:eastAsia="Calibri" w:ascii="Calibri"/>
                <w:b w:val="1"/>
              </w:rPr>
              <w:t xml:space="preserve">Level 2: Assisting the individuals to cope with change</w:t>
            </w:r>
            <w:r>
              <w:rPr>
                <w:rFonts w:cs="Calibri" w:hAnsi="Calibri" w:eastAsia="Calibri" w:ascii="Calibri"/>
                <w:b w:val="1"/>
              </w:rPr>
              <w:t xml:space="preserve"> </w:t>
            </w:r>
          </w:p>
          <w:p>
            <w:pPr>
              <w:numPr>
                <w:ilvl w:val="0"/>
                <w:numId w:val="53"/>
              </w:numPr>
              <w:spacing w:before="0" w:after="0" w:line="240" w:lineRule="auto"/>
              <w:ind w:left="720" w:right="0" w:hanging="720"/>
              <w:jc w:val="left"/>
            </w:pPr>
            <w:r>
              <w:rPr/>
              <w:t xml:space="preserve">Performs appropriate work analysis and assists in</w:t>
            </w:r>
            <w:r>
              <w:rPr/>
              <w:t xml:space="preserve"> </w:t>
            </w:r>
            <w:r>
              <w:rPr/>
              <w:t xml:space="preserve">redesign to establish clear standards for implementation</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u w:val="single" w:color="000000"/>
              </w:rPr>
              <w:t xml:space="preserve">Design And Implementation of Management Systems</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Level 2: Designing and implementing management system</w:t>
            </w:r>
            <w:r>
              <w:rPr>
                <w:rFonts w:cs="Calibri" w:hAnsi="Calibri" w:eastAsia="Calibri" w:ascii="Calibri"/>
                <w:b w:val="1"/>
              </w:rPr>
              <w:t xml:space="preserve"> </w:t>
            </w:r>
          </w:p>
        </w:tc>
      </w:tr>
    </w:tbl>
    <w:tbl>
      <w:tblPr>
        <w:tblStyle w:val="TableGrid"/>
        <w:tblW w:w="8855" w:type="dxa"/>
        <w:tblInd w:w="-107" w:type="dxa"/>
        <w:tblCellMar>
          <w:top w:w="47" w:type="dxa"/>
          <w:left w:w="107" w:type="dxa"/>
          <w:bottom w:w="0" w:type="dxa"/>
          <w:right w:w="58" w:type="dxa"/>
        </w:tblCellMar>
      </w:tblPr>
      <w:tblGrid>
        <w:gridCol w:w="8855"/>
      </w:tblGrid>
      <w:tr>
        <w:trPr>
          <w:trHeight w:val="9025" w:hRule="atLeast"/>
        </w:trPr>
        <w:tc>
          <w:tcPr>
            <w:tcW w:w="8855" w:type="dxa"/>
            <w:tcBorders>
              <w:top w:val="single" w:sz="4" w:color="000000"/>
              <w:left w:val="single" w:sz="4" w:color="000000"/>
              <w:bottom w:val="single" w:sz="4" w:color="000000"/>
              <w:right w:val="single" w:sz="4" w:color="000000"/>
            </w:tcBorders>
            <w:vAlign w:val="top"/>
          </w:tcPr>
          <w:p>
            <w:pPr>
              <w:numPr>
                <w:ilvl w:val="0"/>
                <w:numId w:val="54"/>
              </w:numPr>
              <w:spacing w:before="0" w:after="0" w:line="259" w:lineRule="auto"/>
              <w:ind w:left="720" w:right="0" w:hanging="720"/>
              <w:jc w:val="left"/>
            </w:pPr>
            <w:r>
              <w:rPr/>
              <w:t xml:space="preserve">Makes recommendations regarding operation of systems within organizational units</w:t>
            </w:r>
            <w:r>
              <w:rPr/>
              <w:t xml:space="preserve"> </w:t>
            </w:r>
          </w:p>
          <w:p>
            <w:pPr>
              <w:numPr>
                <w:ilvl w:val="0"/>
                <w:numId w:val="54"/>
              </w:numPr>
              <w:spacing w:before="0" w:after="0" w:line="240" w:lineRule="auto"/>
              <w:ind w:left="720" w:right="0" w:hanging="720"/>
              <w:jc w:val="left"/>
            </w:pPr>
            <w:r>
              <w:rPr/>
              <w:t xml:space="preserve">Identifies and recommends remedial measures to address problems in systems design or implementation</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u w:val="single" w:color="000000"/>
              </w:rPr>
              <w:t xml:space="preserve">Client Orientation</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Level 2: Contributing to positive outcomes for the client</w:t>
            </w:r>
            <w:r>
              <w:rPr>
                <w:rFonts w:cs="Calibri" w:hAnsi="Calibri" w:eastAsia="Calibri" w:ascii="Calibri"/>
                <w:b w:val="1"/>
              </w:rPr>
              <w:t xml:space="preserve"> </w:t>
            </w:r>
          </w:p>
          <w:p>
            <w:pPr>
              <w:numPr>
                <w:ilvl w:val="0"/>
                <w:numId w:val="54"/>
              </w:numPr>
              <w:spacing w:before="0" w:after="0" w:line="259" w:lineRule="auto"/>
              <w:ind w:left="720" w:right="0" w:hanging="720"/>
              <w:jc w:val="left"/>
            </w:pPr>
            <w:r>
              <w:rPr/>
              <w:t xml:space="preserve">Anticipates</w:t>
            </w:r>
            <w:r>
              <w:rPr/>
              <w:t xml:space="preserve"> </w:t>
            </w:r>
            <w:r>
              <w:rPr/>
              <w:t xml:space="preserve">client needs</w:t>
            </w:r>
            <w:r>
              <w:rPr/>
              <w:t xml:space="preserve"> </w:t>
            </w:r>
          </w:p>
          <w:p>
            <w:pPr>
              <w:numPr>
                <w:ilvl w:val="0"/>
                <w:numId w:val="54"/>
              </w:numPr>
              <w:spacing w:before="0" w:after="0" w:line="259" w:lineRule="auto"/>
              <w:ind w:left="720" w:right="0" w:hanging="720"/>
              <w:jc w:val="left"/>
            </w:pPr>
            <w:r>
              <w:rPr/>
              <w:t xml:space="preserve">Demonstrates understanding of client’s perspective</w:t>
            </w:r>
            <w:r>
              <w:rPr/>
              <w:t xml:space="preserve"> </w:t>
            </w:r>
          </w:p>
          <w:p>
            <w:pPr>
              <w:numPr>
                <w:ilvl w:val="0"/>
                <w:numId w:val="54"/>
              </w:numPr>
              <w:spacing w:before="0" w:after="0" w:line="259" w:lineRule="auto"/>
              <w:ind w:left="720" w:right="0" w:hanging="720"/>
              <w:jc w:val="left"/>
            </w:pPr>
            <w:r>
              <w:rPr/>
              <w:t xml:space="preserve">Solicits feedback on service provision and quality</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u w:val="single" w:color="000000"/>
              </w:rPr>
              <w:t xml:space="preserve">Promoting Accountability and Results</w:t>
            </w:r>
            <w:r>
              <w:rPr>
                <w:u w:val="single" w:color="000000"/>
              </w:rPr>
              <w:t xml:space="preserve">-</w:t>
            </w:r>
            <w:r>
              <w:rPr>
                <w:u w:val="single" w:color="000000"/>
              </w:rPr>
              <w:t xml:space="preserve">Based Management</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Level 2: Input to the development of standards and policies</w:t>
            </w:r>
            <w:r>
              <w:rPr>
                <w:rFonts w:cs="Calibri" w:hAnsi="Calibri" w:eastAsia="Calibri" w:ascii="Calibri"/>
                <w:b w:val="1"/>
              </w:rPr>
              <w:t xml:space="preserve"> </w:t>
            </w:r>
          </w:p>
          <w:p>
            <w:pPr>
              <w:numPr>
                <w:ilvl w:val="0"/>
                <w:numId w:val="54"/>
              </w:numPr>
              <w:spacing w:before="0" w:after="0" w:line="259" w:lineRule="auto"/>
              <w:ind w:left="720" w:right="0" w:hanging="720"/>
              <w:jc w:val="left"/>
            </w:pPr>
            <w:r>
              <w:rPr/>
              <w:t xml:space="preserve">Provides inputs to the development of organizational standards for accountability </w:t>
            </w:r>
            <w:r>
              <w:rPr/>
              <w:t xml:space="preserve"> </w:t>
            </w:r>
          </w:p>
          <w:p>
            <w:pPr>
              <w:spacing w:before="0" w:after="0" w:line="259" w:lineRule="auto"/>
              <w:ind w:left="0" w:right="0" w:firstLine="0"/>
              <w:jc w:val="left"/>
            </w:pPr>
            <w:r>
              <w:rPr/>
              <w:t xml:space="preserve"> </w:t>
            </w:r>
          </w:p>
          <w:p>
            <w:pPr>
              <w:spacing w:before="0" w:after="0" w:line="259" w:lineRule="auto"/>
              <w:ind w:left="0" w:right="0" w:firstLine="0"/>
              <w:jc w:val="left"/>
            </w:pPr>
            <w:r>
              <w:rPr>
                <w:rFonts w:cs="Calibri" w:hAnsi="Calibri" w:eastAsia="Calibri" w:ascii="Calibri"/>
                <w:b w:val="1"/>
              </w:rPr>
              <w:t xml:space="preserve">Core Competencies:</w:t>
            </w:r>
            <w:r>
              <w:rPr/>
              <w:t xml:space="preserve"> </w:t>
            </w:r>
          </w:p>
          <w:p>
            <w:pPr>
              <w:spacing w:before="0" w:after="11" w:line="259" w:lineRule="auto"/>
              <w:ind w:left="0" w:right="0" w:firstLine="0"/>
              <w:jc w:val="left"/>
            </w:pPr>
            <w:r>
              <w:rPr>
                <w:rFonts w:cs="Calibri" w:hAnsi="Calibri" w:eastAsia="Calibri" w:ascii="Calibri"/>
                <w:b w:val="1"/>
              </w:rPr>
              <w:t xml:space="preserve"> </w:t>
            </w:r>
          </w:p>
          <w:p>
            <w:pPr>
              <w:numPr>
                <w:ilvl w:val="1"/>
                <w:numId w:val="54"/>
              </w:numPr>
              <w:spacing w:before="0" w:after="12" w:line="259" w:lineRule="auto"/>
              <w:ind w:left="720" w:right="0" w:hanging="360"/>
              <w:jc w:val="left"/>
            </w:pPr>
            <w:r>
              <w:rPr/>
              <w:t xml:space="preserve">Building support and political acumen </w:t>
            </w:r>
            <w:r>
              <w:rPr/>
              <w:t xml:space="preserve"> </w:t>
            </w:r>
          </w:p>
          <w:p>
            <w:pPr>
              <w:numPr>
                <w:ilvl w:val="1"/>
                <w:numId w:val="54"/>
              </w:numPr>
              <w:spacing w:before="0" w:after="11" w:line="259" w:lineRule="auto"/>
              <w:ind w:left="720" w:right="0" w:hanging="360"/>
              <w:jc w:val="left"/>
            </w:pPr>
            <w:r>
              <w:rPr/>
              <w:t xml:space="preserve">Building staff competence,  creating an environment of creativity and innovation </w:t>
            </w:r>
            <w:r>
              <w:rPr/>
              <w:t xml:space="preserve"> </w:t>
            </w:r>
          </w:p>
          <w:p>
            <w:pPr>
              <w:numPr>
                <w:ilvl w:val="1"/>
                <w:numId w:val="54"/>
              </w:numPr>
              <w:spacing w:before="0" w:after="12" w:line="259" w:lineRule="auto"/>
              <w:ind w:left="720" w:right="0" w:hanging="360"/>
              <w:jc w:val="left"/>
            </w:pPr>
            <w:r>
              <w:rPr/>
              <w:t xml:space="preserve">Building and promoting effective teams</w:t>
            </w:r>
            <w:r>
              <w:rPr/>
              <w:t xml:space="preserve"> </w:t>
            </w:r>
          </w:p>
          <w:p>
            <w:pPr>
              <w:numPr>
                <w:ilvl w:val="1"/>
                <w:numId w:val="54"/>
              </w:numPr>
              <w:spacing w:before="0" w:after="12" w:line="259" w:lineRule="auto"/>
              <w:ind w:left="720" w:right="0" w:hanging="360"/>
              <w:jc w:val="left"/>
            </w:pPr>
            <w:r>
              <w:rPr/>
              <w:t xml:space="preserve">Creating and promoting enabling environment for open communication</w:t>
            </w:r>
            <w:r>
              <w:rPr/>
              <w:t xml:space="preserve"> </w:t>
            </w:r>
          </w:p>
          <w:p>
            <w:pPr>
              <w:numPr>
                <w:ilvl w:val="1"/>
                <w:numId w:val="54"/>
              </w:numPr>
              <w:spacing w:before="0" w:after="12" w:line="259" w:lineRule="auto"/>
              <w:ind w:left="720" w:right="0" w:hanging="360"/>
              <w:jc w:val="left"/>
            </w:pPr>
            <w:r>
              <w:rPr/>
              <w:t xml:space="preserve">Creating an emotionally intelligent organization</w:t>
            </w:r>
            <w:r>
              <w:rPr/>
              <w:t xml:space="preserve"> </w:t>
            </w:r>
          </w:p>
          <w:p>
            <w:pPr>
              <w:numPr>
                <w:ilvl w:val="1"/>
                <w:numId w:val="54"/>
              </w:numPr>
              <w:spacing w:before="0" w:after="12" w:line="259" w:lineRule="auto"/>
              <w:ind w:left="720" w:right="0" w:hanging="360"/>
              <w:jc w:val="left"/>
            </w:pPr>
            <w:r>
              <w:rPr/>
              <w:t xml:space="preserve">Leveraging conflict in the interests of UNDP &amp; setting standards </w:t>
            </w:r>
            <w:r>
              <w:rPr/>
              <w:t xml:space="preserve"> </w:t>
            </w:r>
          </w:p>
          <w:p>
            <w:pPr>
              <w:numPr>
                <w:ilvl w:val="1"/>
                <w:numId w:val="54"/>
              </w:numPr>
              <w:spacing w:before="0" w:after="35" w:line="238" w:lineRule="auto"/>
              <w:ind w:left="720" w:right="0" w:hanging="360"/>
              <w:jc w:val="left"/>
            </w:pPr>
            <w:r>
              <w:rPr/>
              <w:t xml:space="preserve">Sharing knowledge across the organization and building a culture of knowledge sharing and learning. Promoting learning and knowledge management/sharing are</w:t>
            </w:r>
            <w:r>
              <w:rPr/>
              <w:t xml:space="preserve"> </w:t>
            </w:r>
            <w:r>
              <w:rPr/>
              <w:t xml:space="preserve">the responsibility of each staff member.</w:t>
            </w:r>
            <w:r>
              <w:rPr/>
              <w:t xml:space="preserve"> </w:t>
            </w:r>
          </w:p>
          <w:p>
            <w:pPr>
              <w:numPr>
                <w:ilvl w:val="1"/>
                <w:numId w:val="54"/>
              </w:numPr>
              <w:spacing w:before="0" w:after="0" w:line="259" w:lineRule="auto"/>
              <w:ind w:left="720" w:right="0" w:hanging="360"/>
              <w:jc w:val="left"/>
            </w:pPr>
            <w:r>
              <w:rPr/>
              <w:t xml:space="preserve">Fair and transparent  decision making; calculated risk</w:t>
            </w:r>
            <w:r>
              <w:rPr/>
              <w:t xml:space="preserve">-</w:t>
            </w:r>
            <w:r>
              <w:rPr/>
              <w:t xml:space="preserve">taking</w:t>
            </w:r>
            <w:r>
              <w:rPr/>
              <w:t xml:space="preserve"> </w:t>
            </w:r>
          </w:p>
          <w:p>
            <w:pPr>
              <w:spacing w:before="0" w:after="0" w:line="259" w:lineRule="auto"/>
              <w:ind w:left="360" w:right="0" w:firstLine="0"/>
              <w:jc w:val="left"/>
            </w:pPr>
            <w:r>
              <w:rPr/>
              <w:t xml:space="preserve"> </w:t>
            </w:r>
          </w:p>
          <w:p>
            <w:pPr>
              <w:spacing w:before="0" w:after="338" w:line="259" w:lineRule="auto"/>
              <w:ind w:left="360" w:right="0" w:firstLine="0"/>
              <w:jc w:val="left"/>
            </w:pPr>
            <w:r>
              <w:rPr/>
              <w:t xml:space="preserve">UNDP Certification programmes Prince2, Procurement, and Human Resource.</w:t>
            </w:r>
            <w:r>
              <w:rPr/>
              <w:t xml:space="preserve"> </w:t>
            </w:r>
          </w:p>
          <w:p>
            <w:pPr>
              <w:spacing w:before="0" w:after="0" w:line="259" w:lineRule="auto"/>
              <w:ind w:left="0" w:right="0" w:firstLine="0"/>
              <w:jc w:val="left"/>
            </w:pPr>
            <w:r>
              <w:rPr>
                <w:rFonts w:cs="Calibri" w:hAnsi="Calibri" w:eastAsia="Calibri" w:ascii="Calibri"/>
                <w:b w:val="1"/>
              </w:rPr>
              <w:t xml:space="preserve"> </w:t>
            </w:r>
          </w:p>
        </w:tc>
      </w:tr>
    </w:tbl>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tbl>
      <w:tblPr>
        <w:tblStyle w:val="TableGrid"/>
        <w:tblW w:w="8855" w:type="dxa"/>
        <w:tblInd w:w="-106" w:type="dxa"/>
        <w:tblCellMar>
          <w:top w:w="46" w:type="dxa"/>
          <w:left w:w="107" w:type="dxa"/>
          <w:bottom w:w="0" w:type="dxa"/>
          <w:right w:w="57" w:type="dxa"/>
        </w:tblCellMar>
      </w:tblPr>
      <w:tblGrid>
        <w:gridCol w:w="2987"/>
        <w:gridCol w:w="5868"/>
      </w:tblGrid>
      <w:tr>
        <w:trPr>
          <w:trHeight w:val="697" w:hRule="atLeast"/>
        </w:trPr>
        <w:tc>
          <w:tcPr>
            <w:tcW w:w="2987" w:type="dxa"/>
            <w:tcBorders>
              <w:top w:val="single" w:sz="4" w:color="000000"/>
              <w:left w:val="single" w:sz="4" w:color="000000"/>
              <w:bottom w:val="single" w:sz="4" w:color="000000"/>
              <w:right w:val="nil"/>
            </w:tcBorders>
            <w:shd w:val="clear" w:fill="e0e0e0"/>
            <w:vAlign w:val="bottom"/>
          </w:tcPr>
          <w:p>
            <w:pPr>
              <w:spacing w:before="0" w:after="0" w:line="259" w:lineRule="auto"/>
              <w:ind w:left="0" w:right="0" w:firstLine="0"/>
              <w:jc w:val="left"/>
            </w:pPr>
            <w:r>
              <w:rPr>
                <w:rFonts w:cs="Calibri" w:hAnsi="Calibri" w:eastAsia="Calibri" w:ascii="Calibri"/>
                <w:b w:val="1"/>
              </w:rPr>
              <w:t xml:space="preserve">VI. Recruitment Qualifications</w:t>
            </w:r>
            <w:r>
              <w:rPr>
                <w:rFonts w:cs="Calibri" w:hAnsi="Calibri" w:eastAsia="Calibri" w:ascii="Calibri"/>
                <w:b w:val="1"/>
              </w:rPr>
              <w:t xml:space="preserve"> </w:t>
            </w:r>
          </w:p>
        </w:tc>
        <w:tc>
          <w:tcPr>
            <w:tcW w:w="5868" w:type="dxa"/>
            <w:tcBorders>
              <w:top w:val="single" w:sz="4" w:color="000000"/>
              <w:left w:val="nil"/>
              <w:bottom w:val="single" w:sz="4" w:color="000000"/>
              <w:right w:val="single" w:sz="4" w:color="000000"/>
            </w:tcBorders>
            <w:shd w:val="clear" w:fill="e0e0e0"/>
            <w:vAlign w:val="center"/>
          </w:tcPr>
          <w:p>
            <w:pPr>
              <w:bidi w:val="0"/>
              <w:spacing w:before="0" w:after="160" w:line="259" w:lineRule="auto"/>
              <w:ind w:left="0" w:right="0" w:firstLine="0"/>
              <w:jc w:val="left"/>
            </w:pPr>
          </w:p>
        </w:tc>
      </w:tr>
      <w:tr>
        <w:trPr>
          <w:trHeight w:val="548"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Education:</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pPr>
            <w:r>
              <w:rPr/>
              <w:t xml:space="preserve">Master’s Degree or equivalent in Business Administration, Public Administration, Finance, Economics or related field.</w:t>
            </w:r>
            <w:r>
              <w:rPr/>
              <w:t xml:space="preserve"> </w:t>
            </w:r>
          </w:p>
        </w:tc>
      </w:tr>
      <w:tr>
        <w:trPr>
          <w:trHeight w:val="2964"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Experience:</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39" w:lineRule="auto"/>
              <w:ind w:left="1" w:right="47" w:firstLine="0"/>
            </w:pPr>
            <w:r>
              <w:rPr/>
              <w:t xml:space="preserve">5 years of relevant experience at the national or international level in providing management advisory services and/or managing staff and operational systems and establishing inter</w:t>
            </w:r>
            <w:r>
              <w:rPr/>
              <w:t xml:space="preserve"/>
            </w:r>
            <w:r>
              <w:rPr/>
              <w:t xml:space="preserve">relationships among international organization and national governments. Experience in the usage of computers and office software packages, experience in handling of web based management systems and ERP systems, preferably PeopleSoft.</w:t>
            </w:r>
            <w:r>
              <w:rPr/>
              <w:t xml:space="preserve"> </w:t>
            </w:r>
          </w:p>
          <w:p>
            <w:pPr>
              <w:spacing w:before="0" w:after="0" w:line="259" w:lineRule="auto"/>
              <w:ind w:left="1" w:right="0" w:firstLine="0"/>
              <w:jc w:val="left"/>
            </w:pPr>
            <w:r>
              <w:rPr/>
              <w:t xml:space="preserve"> </w:t>
            </w:r>
          </w:p>
          <w:p>
            <w:pPr>
              <w:spacing w:before="0" w:after="0" w:line="240" w:lineRule="auto"/>
              <w:ind w:left="1" w:right="0" w:firstLine="0"/>
              <w:jc w:val="left"/>
            </w:pPr>
            <w:r>
              <w:rPr/>
              <w:t xml:space="preserve">Experience of accrual accounting, IPSAS or IFRS is highly desirable.  </w:t>
            </w:r>
            <w:r>
              <w:rPr/>
              <w:t xml:space="preserve"> </w:t>
            </w:r>
          </w:p>
          <w:p>
            <w:pPr>
              <w:spacing w:before="0" w:after="0" w:line="259" w:lineRule="auto"/>
              <w:ind w:left="1" w:right="0" w:firstLine="0"/>
              <w:jc w:val="left"/>
            </w:pPr>
            <w:r>
              <w:rPr/>
              <w:t xml:space="preserve">Experience in Finance and Human Resources will be an </w:t>
            </w:r>
          </w:p>
        </w:tc>
      </w:tr>
    </w:tbl>
    <w:tbl>
      <w:tblPr>
        <w:tblStyle w:val="TableGrid"/>
        <w:tblW w:w="8855" w:type="dxa"/>
        <w:tblInd w:w="-107" w:type="dxa"/>
        <w:tblCellMar>
          <w:top w:w="46" w:type="dxa"/>
          <w:left w:w="107" w:type="dxa"/>
          <w:bottom w:w="0" w:type="dxa"/>
          <w:right w:w="57" w:type="dxa"/>
        </w:tblCellMar>
      </w:tblPr>
      <w:tblGrid>
        <w:gridCol w:w="2987"/>
        <w:gridCol w:w="5868"/>
      </w:tblGrid>
      <w:tr>
        <w:trPr>
          <w:trHeight w:val="279" w:hRule="atLeast"/>
        </w:trPr>
        <w:tc>
          <w:tcPr>
            <w:tcW w:w="2987"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5868"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t xml:space="preserve">advantage.</w:t>
            </w:r>
            <w:r>
              <w:rPr/>
              <w:t xml:space="preserve"> </w:t>
            </w:r>
          </w:p>
        </w:tc>
      </w:tr>
      <w:tr>
        <w:trPr>
          <w:trHeight w:val="547" w:hRule="atLeast"/>
        </w:trPr>
        <w:tc>
          <w:tcPr>
            <w:tcW w:w="29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rFonts w:cs="Calibri" w:hAnsi="Calibri" w:eastAsia="Calibri" w:ascii="Calibri"/>
                <w:b w:val="1"/>
              </w:rPr>
              <w:t xml:space="preserve">Language Requirements:</w:t>
            </w:r>
            <w:r>
              <w:rPr>
                <w:rFonts w:cs="Calibri" w:hAnsi="Calibri" w:eastAsia="Calibri" w:ascii="Calibri"/>
                <w:b w:val="1"/>
              </w:rPr>
              <w:t xml:space="preserve"> </w:t>
            </w:r>
          </w:p>
        </w:tc>
        <w:tc>
          <w:tcPr>
            <w:tcW w:w="5868"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0"/>
              <w:jc w:val="left"/>
            </w:pPr>
            <w:r>
              <w:rPr>
                <w:rFonts w:cs="Calibri" w:hAnsi="Calibri" w:eastAsia="Calibri" w:ascii="Calibri"/>
                <w:b w:val="1"/>
              </w:rPr>
              <w:t xml:space="preserve"> </w:t>
            </w:r>
          </w:p>
          <w:p>
            <w:pPr>
              <w:spacing w:before="0" w:after="0" w:line="259" w:lineRule="auto"/>
              <w:ind w:left="0" w:right="0" w:firstLine="0"/>
              <w:jc w:val="left"/>
            </w:pPr>
            <w:r>
              <w:rPr/>
              <w:t xml:space="preserve">Fluency in English essential. Knowledge of Kiswahili an asset</w:t>
            </w:r>
            <w:r>
              <w:rPr/>
              <w:t xml:space="preserve">.</w:t>
            </w:r>
            <w:r>
              <w:rPr/>
              <w:t xml:space="preserve"> </w:t>
            </w:r>
          </w:p>
        </w:tc>
      </w:tr>
    </w:tbl>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pacing w:before="0" w:after="0" w:line="259" w:lineRule="auto"/>
        <w:ind w:left="1" w:right="0" w:firstLine="0"/>
      </w:pPr>
      <w:r>
        <w:rPr>
          <w:rFonts w:cs="Calibri" w:hAnsi="Calibri" w:eastAsia="Calibri" w:ascii="Calibri"/>
          <w:b w:val="1"/>
        </w:rPr>
        <w:t xml:space="preserve"> </w:t>
      </w:r>
    </w:p>
    <w:p>
      <w:pPr>
        <w:sectPr>
          <w:headerReference w:type="even" r:id="rId35"/>
          <w:headerReference w:type="default" r:id="rId33"/>
          <w:headerReference w:type="first" r:id="rId31"/>
          <w:footerReference w:type="even" r:id="rId36"/>
          <w:footerReference w:type="default" r:id="rId34"/>
          <w:footerReference w:type="first" r:id="rId32"/>
          <w:pgSz w:w="11906" w:h="16838" w:orient="portrait"/>
          <w:pgMar w:left="1440" w:top="895" w:right="1437" w:bottom="1444"/>
          <w:pgNumType w:fmt="decimal"/>
          <w:cols/>
          <w:titlePg/>
        </w:sectPr>
      </w:pPr>
    </w:p>
    <w:p>
      <w:pPr>
        <w:spacing w:before="0" w:after="0" w:line="259" w:lineRule="auto"/>
        <w:ind w:left="-5" w:right="0"/>
        <w:jc w:val="left"/>
      </w:pPr>
      <w:r>
        <w:rPr>
          <w:rFonts w:cs="Arial" w:hAnsi="Arial" w:eastAsia="Arial" w:ascii="Arial"/>
          <w:sz w:val="12"/>
        </w:rPr>
        <w:t xml:space="preserve">DEMOCRATIC EMPOWERMENT PROJECT (DEP)</w:t>
      </w:r>
    </w:p>
    <w:p>
      <w:pPr>
        <w:spacing w:before="0" w:after="253" w:line="259" w:lineRule="auto"/>
        <w:ind w:left="685" w:right="0"/>
        <w:jc w:val="left"/>
      </w:pPr>
      <w:r>
        <w:rPr>
          <w:rFonts w:cs="Arial" w:hAnsi="Arial" w:eastAsia="Arial" w:ascii="Arial"/>
          <w:sz w:val="12"/>
        </w:rPr>
        <w:t xml:space="preserve">RESULTS FRAMEWORK</w:t>
      </w:r>
    </w:p>
    <w:tbl>
      <w:tblPr>
        <w:tblStyle w:val="TableGrid"/>
        <w:tblW w:w="11139" w:type="dxa"/>
        <w:tblInd w:w="-4232" w:type="dxa"/>
        <w:tblCellMar>
          <w:top w:w="3" w:type="dxa"/>
          <w:left w:w="0" w:type="dxa"/>
          <w:bottom w:w="0" w:type="dxa"/>
          <w:right w:w="0" w:type="dxa"/>
        </w:tblCellMar>
      </w:tblPr>
      <w:tblGrid>
        <w:gridCol w:w="2275"/>
        <w:gridCol w:w="2355"/>
        <w:gridCol w:w="1787"/>
        <w:gridCol w:w="1890"/>
        <w:gridCol w:w="2831"/>
      </w:tblGrid>
      <w:tr>
        <w:trPr>
          <w:trHeight w:val="173" w:hRule="atLeast"/>
        </w:trPr>
        <w:tc>
          <w:tcPr>
            <w:tcW w:w="6417" w:type="dxa"/>
            <w:gridSpan w:val="3"/>
            <w:tcBorders>
              <w:top w:val="single" w:sz="9" w:color="000000"/>
              <w:left w:val="single" w:sz="9" w:color="000000"/>
              <w:bottom w:val="single" w:sz="4" w:color="000000"/>
              <w:right w:val="single" w:sz="4" w:color="000000"/>
            </w:tcBorders>
            <w:shd w:val="clear" w:fill="8db4e1"/>
            <w:vAlign w:val="top"/>
          </w:tcPr>
          <w:p>
            <w:pPr>
              <w:spacing w:before="0" w:after="0" w:line="259" w:lineRule="auto"/>
              <w:ind w:left="19" w:right="0" w:firstLine="0"/>
              <w:jc w:val="left"/>
            </w:pPr>
            <w:r>
              <w:rPr>
                <w:rFonts w:cs="Times New Roman" w:hAnsi="Times New Roman" w:eastAsia="Times New Roman" w:ascii="Times New Roman"/>
                <w:b w:val="1"/>
                <w:color w:val="ffffff"/>
                <w:sz w:val="11"/>
              </w:rPr>
              <w:t xml:space="preserve">COMPONENT 1: SUPPORT FOR LEGAL AND INSTITUTIONAL REFORM FOR CREDIBLE ELECTIONS</w:t>
            </w:r>
          </w:p>
        </w:tc>
        <w:tc>
          <w:tcPr>
            <w:tcW w:w="1890" w:type="dxa"/>
            <w:tcBorders>
              <w:top w:val="single" w:sz="9" w:color="000000"/>
              <w:left w:val="single" w:sz="4" w:color="000000"/>
              <w:bottom w:val="single" w:sz="4" w:color="000000"/>
              <w:right w:val="single" w:sz="4" w:color="000000"/>
            </w:tcBorders>
            <w:shd w:val="clear" w:fill="8db4e1"/>
            <w:vAlign w:val="top"/>
          </w:tcPr>
          <w:p>
            <w:pPr>
              <w:bidi w:val="0"/>
              <w:spacing w:before="0" w:after="160" w:line="259" w:lineRule="auto"/>
              <w:ind w:left="0" w:right="0" w:firstLine="0"/>
              <w:jc w:val="left"/>
            </w:pPr>
          </w:p>
        </w:tc>
        <w:tc>
          <w:tcPr>
            <w:tcW w:w="2831" w:type="dxa"/>
            <w:tcBorders>
              <w:top w:val="single" w:sz="9" w:color="000000"/>
              <w:left w:val="single" w:sz="4" w:color="000000"/>
              <w:bottom w:val="single" w:sz="4" w:color="000000"/>
              <w:right w:val="single" w:sz="9" w:color="000000"/>
            </w:tcBorders>
            <w:shd w:val="clear" w:fill="8db4e1"/>
            <w:vAlign w:val="top"/>
          </w:tcPr>
          <w:p>
            <w:pPr>
              <w:bidi w:val="0"/>
              <w:spacing w:before="0" w:after="160" w:line="259" w:lineRule="auto"/>
              <w:ind w:left="0" w:right="0" w:firstLine="0"/>
              <w:jc w:val="left"/>
            </w:pP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Outcome: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sz w:val="11"/>
              </w:rPr>
              <w:t xml:space="preserve">Electoral Management Bodies (EMBs) able to plan and manage the electoral process effectively</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Project Output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sz w:val="11"/>
              </w:rPr>
              <w:t xml:space="preserve">Legal and institutional reforms introduced  to promote democratic elections</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Baseline</w:t>
            </w:r>
          </w:p>
        </w:tc>
        <w:tc>
          <w:tcPr>
            <w:tcW w:w="6033" w:type="dxa"/>
            <w:gridSpan w:val="3"/>
            <w:tcBorders>
              <w:top w:val="single" w:sz="4" w:color="000000"/>
              <w:left w:val="single" w:sz="4" w:color="000000"/>
              <w:bottom w:val="single" w:sz="4" w:color="000000"/>
              <w:right w:val="nil"/>
            </w:tcBorders>
            <w:shd w:val="clear" w:fill="c5d9f1"/>
            <w:vAlign w:val="top"/>
          </w:tcPr>
          <w:p>
            <w:pPr>
              <w:spacing w:before="0" w:after="0" w:line="259" w:lineRule="auto"/>
              <w:ind w:left="19" w:right="0" w:firstLine="0"/>
            </w:pPr>
            <w:r>
              <w:rPr>
                <w:rFonts w:cs="Times New Roman" w:hAnsi="Times New Roman" w:eastAsia="Times New Roman" w:ascii="Times New Roman"/>
                <w:sz w:val="11"/>
              </w:rPr>
              <w:t xml:space="preserve">Past election observer reports and analysis conducted between 1995 to date have reiterated the need for a review of the legal and institutional </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17" w:right="0" w:firstLine="0"/>
              <w:jc w:val="left"/>
            </w:pPr>
            <w:r>
              <w:rPr>
                <w:rFonts w:cs="Times New Roman" w:hAnsi="Times New Roman" w:eastAsia="Times New Roman" w:ascii="Times New Roman"/>
                <w:sz w:val="11"/>
              </w:rPr>
              <w:t xml:space="preserve">framework for elections in Tanzania. </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Targets</w:t>
            </w:r>
          </w:p>
        </w:tc>
        <w:tc>
          <w:tcPr>
            <w:tcW w:w="6033" w:type="dxa"/>
            <w:gridSpan w:val="3"/>
            <w:tcBorders>
              <w:top w:val="single" w:sz="4" w:color="000000"/>
              <w:left w:val="single" w:sz="4" w:color="000000"/>
              <w:bottom w:val="single" w:sz="4" w:color="000000"/>
              <w:right w:val="nil"/>
            </w:tcBorders>
            <w:shd w:val="clear" w:fill="c5d9f1"/>
            <w:vAlign w:val="top"/>
          </w:tcPr>
          <w:p>
            <w:pPr>
              <w:spacing w:before="0" w:after="0" w:line="259" w:lineRule="auto"/>
              <w:ind w:left="19" w:right="0" w:firstLine="0"/>
              <w:jc w:val="left"/>
            </w:pPr>
            <w:r>
              <w:rPr>
                <w:rFonts w:cs="Times New Roman" w:hAnsi="Times New Roman" w:eastAsia="Times New Roman" w:ascii="Times New Roman"/>
                <w:sz w:val="11"/>
              </w:rPr>
              <w:t xml:space="preserve">Legal reform undertaken to improve credibility and quality of elections and improve the democratic environment in the country.</w:t>
            </w:r>
          </w:p>
        </w:tc>
        <w:tc>
          <w:tcPr>
            <w:tcW w:w="2831" w:type="dxa"/>
            <w:tcBorders>
              <w:top w:val="single" w:sz="4" w:color="000000"/>
              <w:left w:val="nil"/>
              <w:bottom w:val="single" w:sz="4" w:color="000000"/>
              <w:right w:val="single" w:sz="4" w:color="000000"/>
            </w:tcBorders>
            <w:shd w:val="clear" w:fill="c5d9f1"/>
            <w:vAlign w:val="top"/>
          </w:tcPr>
          <w:p>
            <w:pPr>
              <w:bidi w:val="0"/>
              <w:spacing w:before="0" w:after="160" w:line="259" w:lineRule="auto"/>
              <w:ind w:left="0" w:right="0" w:firstLine="0"/>
              <w:jc w:val="left"/>
            </w:pP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Indicators</w:t>
            </w:r>
          </w:p>
        </w:tc>
        <w:tc>
          <w:tcPr>
            <w:tcW w:w="6033" w:type="dxa"/>
            <w:gridSpan w:val="3"/>
            <w:tcBorders>
              <w:top w:val="single" w:sz="4" w:color="000000"/>
              <w:left w:val="single" w:sz="4" w:color="000000"/>
              <w:bottom w:val="single" w:sz="4" w:color="000000"/>
              <w:right w:val="nil"/>
            </w:tcBorders>
            <w:shd w:val="clear" w:fill="c5d9f1"/>
            <w:vAlign w:val="top"/>
          </w:tcPr>
          <w:p>
            <w:pPr>
              <w:spacing w:before="0" w:after="0" w:line="259" w:lineRule="auto"/>
              <w:ind w:left="19" w:right="0" w:firstLine="0"/>
              <w:jc w:val="left"/>
            </w:pPr>
            <w:r>
              <w:rPr>
                <w:rFonts w:cs="Times New Roman" w:hAnsi="Times New Roman" w:eastAsia="Times New Roman" w:ascii="Times New Roman"/>
                <w:sz w:val="11"/>
              </w:rPr>
              <w:t xml:space="preserve">Revised Electoral laws, and regulations drafted, Inter-stakeholder dialogue facilitated </w:t>
            </w:r>
          </w:p>
        </w:tc>
        <w:tc>
          <w:tcPr>
            <w:tcW w:w="2831" w:type="dxa"/>
            <w:tcBorders>
              <w:top w:val="single" w:sz="4" w:color="000000"/>
              <w:left w:val="nil"/>
              <w:bottom w:val="single" w:sz="4" w:color="000000"/>
              <w:right w:val="single" w:sz="4" w:color="000000"/>
            </w:tcBorders>
            <w:shd w:val="clear" w:fill="c5d9f1"/>
            <w:vAlign w:val="top"/>
          </w:tcPr>
          <w:p>
            <w:pPr>
              <w:bidi w:val="0"/>
              <w:spacing w:before="0" w:after="160" w:line="259" w:lineRule="auto"/>
              <w:ind w:left="0" w:right="0" w:firstLine="0"/>
              <w:jc w:val="left"/>
            </w:pPr>
          </w:p>
        </w:tc>
      </w:tr>
      <w:tr>
        <w:trPr>
          <w:trHeight w:val="348" w:hRule="atLeast"/>
        </w:trPr>
        <w:tc>
          <w:tcPr>
            <w:tcW w:w="2275" w:type="dxa"/>
            <w:tcBorders>
              <w:top w:val="single" w:sz="4" w:color="000000"/>
              <w:left w:val="single" w:sz="4" w:color="000000"/>
              <w:bottom w:val="single" w:sz="4" w:color="000000"/>
              <w:right w:val="single" w:sz="4" w:color="000000"/>
            </w:tcBorders>
            <w:shd w:val="clear" w:fill="c5d9f1"/>
            <w:vAlign w:val="center"/>
          </w:tcPr>
          <w:p>
            <w:pPr>
              <w:spacing w:before="0" w:after="0" w:line="259" w:lineRule="auto"/>
              <w:ind w:left="19" w:right="0" w:firstLine="0"/>
              <w:jc w:val="left"/>
            </w:pPr>
            <w:r>
              <w:rPr>
                <w:rFonts w:cs="Times New Roman" w:hAnsi="Times New Roman" w:eastAsia="Times New Roman" w:ascii="Times New Roman"/>
                <w:b w:val="1"/>
                <w:sz w:val="11"/>
              </w:rPr>
              <w:t xml:space="preserve">Means of Verification</w:t>
            </w:r>
          </w:p>
        </w:tc>
        <w:tc>
          <w:tcPr>
            <w:tcW w:w="6033" w:type="dxa"/>
            <w:gridSpan w:val="3"/>
            <w:tcBorders>
              <w:top w:val="single" w:sz="4" w:color="000000"/>
              <w:left w:val="single" w:sz="4" w:color="000000"/>
              <w:bottom w:val="single" w:sz="4" w:color="000000"/>
              <w:right w:val="nil"/>
            </w:tcBorders>
            <w:shd w:val="clear" w:fill="c5d9f1"/>
            <w:vAlign w:val="top"/>
          </w:tcPr>
          <w:p>
            <w:pPr>
              <w:spacing w:before="0" w:after="0" w:line="259" w:lineRule="auto"/>
              <w:ind w:left="19" w:right="0" w:firstLine="0"/>
            </w:pPr>
            <w:r>
              <w:rPr>
                <w:rFonts w:cs="Times New Roman" w:hAnsi="Times New Roman" w:eastAsia="Times New Roman" w:ascii="Times New Roman"/>
                <w:sz w:val="11"/>
              </w:rPr>
              <w:t xml:space="preserve">Electoral stakeholders´ and public acceptance participation in electoral reform. - Media reports and related assessments. - Project M&amp;E report</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8" w:right="0" w:firstLine="0"/>
              <w:jc w:val="left"/>
            </w:pPr>
            <w:r>
              <w:rPr>
                <w:rFonts w:cs="Times New Roman" w:hAnsi="Times New Roman" w:eastAsia="Times New Roman" w:ascii="Times New Roman"/>
                <w:sz w:val="11"/>
              </w:rPr>
              <w:t xml:space="preserve">s - Official EMB and other  stakeholder reports.</w:t>
            </w:r>
          </w:p>
        </w:tc>
      </w:tr>
      <w:tr>
        <w:trPr>
          <w:trHeight w:val="173" w:hRule="atLeast"/>
        </w:trPr>
        <w:tc>
          <w:tcPr>
            <w:tcW w:w="2275" w:type="dxa"/>
            <w:tcBorders>
              <w:top w:val="single" w:sz="4" w:color="000000"/>
              <w:left w:val="single" w:sz="9" w:color="000000"/>
              <w:bottom w:val="single" w:sz="4" w:color="000000"/>
              <w:right w:val="single" w:sz="4" w:color="000000"/>
            </w:tcBorders>
            <w:shd w:val="clear" w:fill="dce6f1"/>
            <w:vAlign w:val="top"/>
          </w:tcPr>
          <w:p>
            <w:pPr>
              <w:spacing w:before="0" w:after="0" w:line="259" w:lineRule="auto"/>
              <w:ind w:left="6" w:right="0" w:firstLine="0"/>
              <w:jc w:val="center"/>
            </w:pPr>
            <w:r>
              <w:rPr>
                <w:rFonts w:cs="Times New Roman" w:hAnsi="Times New Roman" w:eastAsia="Times New Roman" w:ascii="Times New Roman"/>
                <w:b w:val="1"/>
                <w:sz w:val="11"/>
              </w:rPr>
              <w:t xml:space="preserve">Outputs</w:t>
            </w:r>
          </w:p>
        </w:tc>
        <w:tc>
          <w:tcPr>
            <w:tcW w:w="2355"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9" w:right="0" w:firstLine="0"/>
              <w:jc w:val="center"/>
            </w:pPr>
            <w:r>
              <w:rPr>
                <w:rFonts w:cs="Times New Roman" w:hAnsi="Times New Roman" w:eastAsia="Times New Roman" w:ascii="Times New Roman"/>
                <w:b w:val="1"/>
                <w:sz w:val="11"/>
              </w:rPr>
              <w:t xml:space="preserve">Targets</w:t>
            </w:r>
          </w:p>
        </w:tc>
        <w:tc>
          <w:tcPr>
            <w:tcW w:w="1787"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8" w:right="0" w:firstLine="0"/>
              <w:jc w:val="center"/>
            </w:pPr>
            <w:r>
              <w:rPr>
                <w:rFonts w:cs="Times New Roman" w:hAnsi="Times New Roman" w:eastAsia="Times New Roman" w:ascii="Times New Roman"/>
                <w:b w:val="1"/>
                <w:sz w:val="11"/>
              </w:rPr>
              <w:t xml:space="preserve">Indicators</w:t>
            </w:r>
          </w:p>
        </w:tc>
        <w:tc>
          <w:tcPr>
            <w:tcW w:w="1890"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9" w:right="0" w:firstLine="0"/>
              <w:jc w:val="center"/>
            </w:pPr>
            <w:r>
              <w:rPr>
                <w:rFonts w:cs="Times New Roman" w:hAnsi="Times New Roman" w:eastAsia="Times New Roman" w:ascii="Times New Roman"/>
                <w:b w:val="1"/>
                <w:sz w:val="11"/>
              </w:rPr>
              <w:t xml:space="preserve">Means of Verification</w:t>
            </w:r>
          </w:p>
        </w:tc>
        <w:tc>
          <w:tcPr>
            <w:tcW w:w="2831" w:type="dxa"/>
            <w:tcBorders>
              <w:top w:val="single" w:sz="4" w:color="000000"/>
              <w:left w:val="single" w:sz="4" w:color="000000"/>
              <w:bottom w:val="single" w:sz="4" w:color="000000"/>
              <w:right w:val="single" w:sz="9" w:color="000000"/>
            </w:tcBorders>
            <w:shd w:val="clear" w:fill="dce6f1"/>
            <w:vAlign w:val="top"/>
          </w:tcPr>
          <w:p>
            <w:pPr>
              <w:spacing w:before="0" w:after="0" w:line="259" w:lineRule="auto"/>
              <w:ind w:left="7" w:right="0" w:firstLine="0"/>
              <w:jc w:val="center"/>
            </w:pPr>
            <w:r>
              <w:rPr>
                <w:rFonts w:cs="Times New Roman" w:hAnsi="Times New Roman" w:eastAsia="Times New Roman" w:ascii="Times New Roman"/>
                <w:b w:val="1"/>
                <w:sz w:val="11"/>
              </w:rPr>
              <w:t xml:space="preserve">Activites</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Election related Laws are responsive to the changes in the constitutional . </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Year 1. Referendum Law developed and compliant to international Standards.</w:t>
            </w:r>
          </w:p>
        </w:tc>
        <w:tc>
          <w:tcPr>
            <w:tcW w:w="1787" w:type="dxa"/>
            <w:tcBorders>
              <w:top w:val="single" w:sz="4" w:color="000000"/>
              <w:left w:val="single" w:sz="4" w:color="000000"/>
              <w:bottom w:val="single" w:sz="4" w:color="000000"/>
              <w:right w:val="single" w:sz="4" w:color="000000"/>
            </w:tcBorders>
            <w:vAlign w:val="top"/>
          </w:tcPr>
          <w:p>
            <w:pPr>
              <w:spacing w:before="0" w:after="0" w:line="245" w:lineRule="auto"/>
              <w:ind w:left="18" w:right="0" w:firstLine="1"/>
              <w:jc w:val="left"/>
            </w:pPr>
            <w:r>
              <w:rPr>
                <w:rFonts w:cs="Times New Roman" w:hAnsi="Times New Roman" w:eastAsia="Times New Roman" w:ascii="Times New Roman"/>
                <w:sz w:val="11"/>
              </w:rPr>
              <w:t xml:space="preserve">Drafts of bills and/or amendments are sent to parliament with input from </w:t>
            </w:r>
          </w:p>
          <w:p>
            <w:pPr>
              <w:spacing w:before="0" w:after="0" w:line="259" w:lineRule="auto"/>
              <w:ind w:left="21" w:right="0" w:firstLine="0"/>
              <w:jc w:val="left"/>
            </w:pPr>
            <w:r>
              <w:rPr>
                <w:rFonts w:cs="Times New Roman" w:hAnsi="Times New Roman" w:eastAsia="Times New Roman" w:ascii="Times New Roman"/>
                <w:sz w:val="11"/>
              </w:rPr>
              <w:t xml:space="preserve">NEC/ZEC.</w:t>
            </w:r>
          </w:p>
        </w:tc>
        <w:tc>
          <w:tcPr>
            <w:tcW w:w="1890" w:type="dxa"/>
            <w:tcBorders>
              <w:top w:val="single" w:sz="4" w:color="000000"/>
              <w:left w:val="single" w:sz="4" w:color="000000"/>
              <w:bottom w:val="single" w:sz="4" w:color="000000"/>
              <w:right w:val="single" w:sz="4" w:color="000000"/>
            </w:tcBorders>
            <w:shd w:val="clear" w:fill="fde9d9"/>
            <w:vAlign w:val="top"/>
          </w:tcPr>
          <w:p>
            <w:pPr>
              <w:spacing w:before="0" w:after="0" w:line="259" w:lineRule="auto"/>
              <w:ind w:left="20" w:right="0" w:hanging="1"/>
              <w:jc w:val="left"/>
            </w:pPr>
            <w:r>
              <w:rPr>
                <w:rFonts w:cs="Times New Roman" w:hAnsi="Times New Roman" w:eastAsia="Times New Roman" w:ascii="Times New Roman"/>
                <w:sz w:val="11"/>
              </w:rPr>
              <w:t xml:space="preserve">Verified drafts submitted to Government. Parliamentary Hansards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Support NEC in updating the election regulations &amp; guidelines </w:t>
            </w:r>
          </w:p>
        </w:tc>
      </w:tr>
      <w:tr>
        <w:trPr>
          <w:trHeight w:val="444" w:hRule="atLeast"/>
        </w:trPr>
        <w:tc>
          <w:tcPr>
            <w:tcW w:w="2275" w:type="dxa"/>
            <w:tcBorders>
              <w:top w:val="single" w:sz="4" w:color="000000"/>
              <w:left w:val="single" w:sz="4" w:color="000000"/>
              <w:bottom w:val="single" w:sz="4" w:color="000000"/>
              <w:right w:val="single" w:sz="4" w:color="000000"/>
            </w:tcBorders>
            <w:vAlign w:val="bottom"/>
          </w:tcPr>
          <w:p>
            <w:pPr>
              <w:spacing w:before="0" w:after="0" w:line="259" w:lineRule="auto"/>
              <w:ind w:left="19" w:right="0" w:firstLine="0"/>
              <w:jc w:val="left"/>
            </w:pPr>
            <w:r>
              <w:rPr>
                <w:rFonts w:cs="Times New Roman" w:hAnsi="Times New Roman" w:eastAsia="Times New Roman" w:ascii="Times New Roman"/>
                <w:sz w:val="11"/>
              </w:rPr>
              <w:t xml:space="preserve">Constitutional review and the democratic </w:t>
            </w:r>
          </w:p>
        </w:tc>
        <w:tc>
          <w:tcPr>
            <w:tcW w:w="2355" w:type="dxa"/>
            <w:tcBorders>
              <w:top w:val="single" w:sz="4" w:color="000000"/>
              <w:left w:val="single" w:sz="4" w:color="000000"/>
              <w:bottom w:val="single" w:sz="4" w:color="000000"/>
              <w:right w:val="single" w:sz="4" w:color="000000"/>
            </w:tcBorders>
            <w:vAlign w:val="top"/>
          </w:tcPr>
          <w:p>
            <w:pPr>
              <w:spacing w:before="0" w:after="6" w:line="245" w:lineRule="auto"/>
              <w:ind w:left="19" w:right="0" w:firstLine="1"/>
              <w:jc w:val="left"/>
            </w:pPr>
            <w:r>
              <w:rPr>
                <w:rFonts w:cs="Times New Roman" w:hAnsi="Times New Roman" w:eastAsia="Times New Roman" w:ascii="Times New Roman"/>
                <w:sz w:val="11"/>
              </w:rPr>
              <w:t xml:space="preserve">Year 2. Election Laws revised to address constitutional/legal changes and international conventions to which Tanzania is party.</w:t>
            </w:r>
          </w:p>
          <w:p>
            <w:pPr>
              <w:spacing w:before="0" w:after="0" w:line="259" w:lineRule="auto"/>
              <w:ind w:left="19" w:right="0" w:firstLine="0"/>
              <w:jc w:val="left"/>
            </w:pPr>
            <w:r>
              <w:rPr>
                <w:rFonts w:cs="Times New Roman" w:hAnsi="Times New Roman" w:eastAsia="Times New Roman" w:ascii="Times New Roman"/>
                <w:sz w:val="11"/>
              </w:rPr>
              <w:t xml:space="preserve">Year 1. Key stakeholders in the electoral and political </w:t>
            </w:r>
          </w:p>
        </w:tc>
        <w:tc>
          <w:tcPr>
            <w:tcW w:w="1787" w:type="dxa"/>
            <w:tcBorders>
              <w:top w:val="single" w:sz="4" w:color="000000"/>
              <w:left w:val="single" w:sz="4" w:color="000000"/>
              <w:bottom w:val="single" w:sz="4" w:color="000000"/>
              <w:right w:val="single" w:sz="4" w:color="000000"/>
            </w:tcBorders>
            <w:vAlign w:val="top"/>
          </w:tcPr>
          <w:p>
            <w:pPr>
              <w:spacing w:before="0" w:after="0" w:line="245" w:lineRule="auto"/>
              <w:ind w:left="18" w:right="0" w:firstLine="1"/>
              <w:jc w:val="left"/>
            </w:pPr>
            <w:r>
              <w:rPr>
                <w:rFonts w:cs="Times New Roman" w:hAnsi="Times New Roman" w:eastAsia="Times New Roman" w:ascii="Times New Roman"/>
                <w:sz w:val="11"/>
              </w:rPr>
              <w:t xml:space="preserve">Drafts of bills and/or amendments are sent to parliament with input from </w:t>
            </w:r>
          </w:p>
          <w:p>
            <w:pPr>
              <w:spacing w:before="0" w:after="0" w:line="259" w:lineRule="auto"/>
              <w:ind w:left="21" w:right="0" w:firstLine="0"/>
              <w:jc w:val="left"/>
            </w:pPr>
            <w:r>
              <w:rPr>
                <w:rFonts w:cs="Times New Roman" w:hAnsi="Times New Roman" w:eastAsia="Times New Roman" w:ascii="Times New Roman"/>
                <w:sz w:val="11"/>
              </w:rPr>
              <w:t xml:space="preserve">NEC/ZEC.</w:t>
            </w:r>
          </w:p>
          <w:p>
            <w:pPr>
              <w:spacing w:before="0" w:after="0" w:line="259" w:lineRule="auto"/>
              <w:ind w:left="19" w:right="0" w:firstLine="0"/>
              <w:jc w:val="left"/>
            </w:pPr>
            <w:r>
              <w:rPr>
                <w:rFonts w:cs="Times New Roman" w:hAnsi="Times New Roman" w:eastAsia="Times New Roman" w:ascii="Times New Roman"/>
                <w:sz w:val="11"/>
              </w:rPr>
              <w:t xml:space="preserve">The legal framework for national </w:t>
            </w:r>
          </w:p>
        </w:tc>
        <w:tc>
          <w:tcPr>
            <w:tcW w:w="1890" w:type="dxa"/>
            <w:tcBorders>
              <w:top w:val="single" w:sz="4" w:color="000000"/>
              <w:left w:val="single" w:sz="4" w:color="000000"/>
              <w:bottom w:val="single" w:sz="4" w:color="000000"/>
              <w:right w:val="single" w:sz="4" w:color="000000"/>
            </w:tcBorders>
            <w:shd w:val="clear" w:fill="fde9d9"/>
            <w:vAlign w:val="top"/>
          </w:tcPr>
          <w:p>
            <w:pPr>
              <w:spacing w:before="0" w:after="131" w:line="245" w:lineRule="auto"/>
              <w:ind w:left="20" w:right="0" w:hanging="1"/>
              <w:jc w:val="left"/>
            </w:pPr>
            <w:r>
              <w:rPr>
                <w:rFonts w:cs="Times New Roman" w:hAnsi="Times New Roman" w:eastAsia="Times New Roman" w:ascii="Times New Roman"/>
                <w:sz w:val="11"/>
              </w:rPr>
              <w:t xml:space="preserve">Verified drafts submitted to Government. Parliamentary Hansards</w:t>
            </w:r>
          </w:p>
          <w:p>
            <w:pPr>
              <w:spacing w:before="0" w:after="0" w:line="259" w:lineRule="auto"/>
              <w:ind w:left="19" w:right="0" w:firstLine="0"/>
              <w:jc w:val="left"/>
            </w:pPr>
            <w:r>
              <w:rPr>
                <w:rFonts w:cs="Times New Roman" w:hAnsi="Times New Roman" w:eastAsia="Times New Roman" w:ascii="Times New Roman"/>
                <w:sz w:val="11"/>
              </w:rPr>
              <w:t xml:space="preserve">Verified drafts submitted to Government. </w:t>
            </w:r>
          </w:p>
        </w:tc>
        <w:tc>
          <w:tcPr>
            <w:tcW w:w="2831" w:type="dxa"/>
            <w:tcBorders>
              <w:top w:val="single" w:sz="4" w:color="000000"/>
              <w:left w:val="single" w:sz="4" w:color="000000"/>
              <w:bottom w:val="double" w:sz="4" w:color="000000"/>
              <w:right w:val="single" w:sz="4" w:color="000000"/>
            </w:tcBorders>
            <w:vAlign w:val="top"/>
          </w:tcPr>
          <w:p>
            <w:pPr>
              <w:spacing w:before="0" w:after="249" w:line="259" w:lineRule="auto"/>
              <w:ind w:left="19" w:right="0" w:firstLine="0"/>
              <w:jc w:val="left"/>
            </w:pPr>
            <w:r>
              <w:rPr>
                <w:rFonts w:cs="Times New Roman" w:hAnsi="Times New Roman" w:eastAsia="Times New Roman" w:ascii="Times New Roman"/>
                <w:sz w:val="11"/>
              </w:rPr>
              <w:t xml:space="preserve">Support for referendum law drafting &amp; validation</w:t>
            </w:r>
          </w:p>
          <w:p>
            <w:pPr>
              <w:spacing w:before="0" w:after="0" w:line="259" w:lineRule="auto"/>
              <w:ind w:left="19" w:right="0" w:firstLine="0"/>
              <w:jc w:val="left"/>
            </w:pPr>
            <w:r>
              <w:rPr>
                <w:rFonts w:cs="Times New Roman" w:hAnsi="Times New Roman" w:eastAsia="Times New Roman" w:ascii="Times New Roman"/>
                <w:sz w:val="11"/>
              </w:rPr>
              <w:t xml:space="preserve">Support the RPP during constitutional review process </w:t>
            </w:r>
          </w:p>
        </w:tc>
      </w:tr>
      <w:tr>
        <w:trPr>
          <w:trHeight w:val="316" w:hRule="atLeast"/>
        </w:trPr>
        <w:tc>
          <w:tcPr>
            <w:tcW w:w="2275" w:type="dxa"/>
            <w:vMerge w:val="restart"/>
            <w:tcBorders>
              <w:top w:val="single" w:sz="4" w:color="000000"/>
              <w:left w:val="single" w:sz="4" w:color="000000"/>
              <w:bottom w:val="single" w:sz="4" w:color="000000"/>
              <w:right w:val="single" w:sz="4" w:color="000000"/>
            </w:tcBorders>
            <w:vAlign w:val="top"/>
          </w:tcPr>
          <w:p>
            <w:pPr>
              <w:spacing w:before="0" w:after="0" w:line="259" w:lineRule="auto"/>
              <w:ind w:left="20" w:right="0" w:firstLine="0"/>
              <w:jc w:val="left"/>
            </w:pPr>
            <w:r>
              <w:rPr>
                <w:rFonts w:cs="Times New Roman" w:hAnsi="Times New Roman" w:eastAsia="Times New Roman" w:ascii="Times New Roman"/>
                <w:sz w:val="11"/>
              </w:rPr>
              <w:t xml:space="preserve">strengthening initiatives are informed by empirical data and contributions of key political stakeholders.</w:t>
            </w:r>
          </w:p>
        </w:tc>
        <w:tc>
          <w:tcPr>
            <w:tcW w:w="2355" w:type="dxa"/>
            <w:vMerge w:val="restart"/>
            <w:tcBorders>
              <w:top w:val="single" w:sz="4" w:color="000000"/>
              <w:left w:val="single" w:sz="4" w:color="000000"/>
              <w:bottom w:val="single" w:sz="4" w:color="000000"/>
              <w:right w:val="single" w:sz="4" w:color="000000"/>
            </w:tcBorders>
            <w:vAlign w:val="top"/>
          </w:tcPr>
          <w:p>
            <w:pPr>
              <w:spacing w:before="0" w:after="0" w:line="259" w:lineRule="auto"/>
              <w:ind w:left="19" w:right="0" w:firstLine="2"/>
              <w:jc w:val="left"/>
            </w:pPr>
            <w:r>
              <w:rPr>
                <w:rFonts w:cs="Times New Roman" w:hAnsi="Times New Roman" w:eastAsia="Times New Roman" w:ascii="Times New Roman"/>
                <w:sz w:val="11"/>
              </w:rPr>
              <w:t xml:space="preserve">sectors provide substantive inputs to the Constitutional Reform Process at relevant stages.</w:t>
            </w:r>
          </w:p>
        </w:tc>
        <w:tc>
          <w:tcPr>
            <w:tcW w:w="1787" w:type="dxa"/>
            <w:vMerge w:val="restart"/>
            <w:tcBorders>
              <w:top w:val="single" w:sz="4" w:color="000000"/>
              <w:left w:val="single" w:sz="4" w:color="000000"/>
              <w:bottom w:val="single" w:sz="4" w:color="000000"/>
              <w:right w:val="single" w:sz="4" w:color="000000"/>
            </w:tcBorders>
            <w:vAlign w:val="top"/>
          </w:tcPr>
          <w:p>
            <w:pPr>
              <w:spacing w:before="0" w:after="0" w:line="259" w:lineRule="auto"/>
              <w:ind w:left="-13" w:right="0" w:firstLine="0"/>
            </w:pPr>
            <w:r>
              <w:rPr>
                <w:rFonts w:cs="Times New Roman" w:hAnsi="Times New Roman" w:eastAsia="Times New Roman" w:ascii="Times New Roman"/>
                <w:sz w:val="11"/>
              </w:rPr>
              <w:t xml:space="preserve"> elections internalises relevant global and </w:t>
            </w:r>
          </w:p>
          <w:p>
            <w:pPr>
              <w:spacing w:before="0" w:after="0" w:line="259" w:lineRule="auto"/>
              <w:ind w:left="18" w:right="0" w:firstLine="0"/>
              <w:jc w:val="left"/>
            </w:pPr>
            <w:r>
              <w:rPr>
                <w:rFonts w:cs="Times New Roman" w:hAnsi="Times New Roman" w:eastAsia="Times New Roman" w:ascii="Times New Roman"/>
                <w:sz w:val="11"/>
              </w:rPr>
              <w:t xml:space="preserve">continental conventions and treaty obligations as well as internationally recognized standards of best practice.</w:t>
            </w:r>
          </w:p>
        </w:tc>
        <w:tc>
          <w:tcPr>
            <w:tcW w:w="1890" w:type="dxa"/>
            <w:tcBorders>
              <w:top w:val="single" w:sz="4" w:color="000000"/>
              <w:left w:val="single" w:sz="4" w:color="000000"/>
              <w:bottom w:val="nil"/>
              <w:right w:val="single" w:sz="4" w:color="000000"/>
            </w:tcBorders>
            <w:shd w:val="clear" w:fill="fde9d9"/>
            <w:vAlign w:val="top"/>
          </w:tcPr>
          <w:p>
            <w:pPr>
              <w:spacing w:before="0" w:after="0" w:line="259" w:lineRule="auto"/>
              <w:ind w:left="20" w:right="0" w:firstLine="0"/>
              <w:jc w:val="left"/>
            </w:pPr>
            <w:r>
              <w:rPr>
                <w:rFonts w:cs="Times New Roman" w:hAnsi="Times New Roman" w:eastAsia="Times New Roman" w:ascii="Times New Roman"/>
                <w:sz w:val="11"/>
              </w:rPr>
              <w:t xml:space="preserve">Parliamentary Hansards</w:t>
            </w:r>
          </w:p>
        </w:tc>
        <w:tc>
          <w:tcPr>
            <w:tcW w:w="2831" w:type="dxa"/>
            <w:tcBorders>
              <w:top w:val="doub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Support research &amp; dialogue on two decades of multiparty system in Tanzania </w:t>
            </w:r>
          </w:p>
        </w:tc>
      </w:tr>
      <w:tr>
        <w:trPr>
          <w:trHeight w:val="253" w:hRule="atLeast"/>
        </w:trPr>
        <w:tc>
          <w:tcPr>
            <w:vMerge w:val="continue"/>
            <w:tcBorders>
              <w:top w:val="nil"/>
              <w:left w:val="single" w:sz="4" w:color="000000"/>
              <w:bottom w:val="nil"/>
              <w:right w:val="single" w:sz="4" w:color="000000"/>
            </w:tcBorders>
            <w:vAlign w:val="top"/>
          </w:tcPr>
          <w:p>
            <w:pPr>
              <w:bidi w:val="0"/>
              <w:spacing w:before="0" w:after="160" w:line="259" w:lineRule="auto"/>
              <w:ind w:left="0" w:right="0" w:firstLine="0"/>
              <w:jc w:val="left"/>
            </w:pPr>
          </w:p>
        </w:tc>
        <w:tc>
          <w:tcPr>
            <w:vMerge w:val="continue"/>
            <w:tcBorders>
              <w:top w:val="nil"/>
              <w:left w:val="single" w:sz="4" w:color="000000"/>
              <w:bottom w:val="nil"/>
              <w:right w:val="single" w:sz="4" w:color="000000"/>
            </w:tcBorders>
            <w:vAlign w:val="top"/>
          </w:tcPr>
          <w:p>
            <w:pPr>
              <w:bidi w:val="0"/>
              <w:spacing w:before="0" w:after="160" w:line="259" w:lineRule="auto"/>
              <w:ind w:left="0" w:right="0" w:firstLine="0"/>
              <w:jc w:val="left"/>
            </w:pPr>
          </w:p>
        </w:tc>
        <w:tc>
          <w:tcPr>
            <w:vMerge w:val="continue"/>
            <w:tcBorders>
              <w:top w:val="nil"/>
              <w:left w:val="single" w:sz="4" w:color="000000"/>
              <w:bottom w:val="nil"/>
              <w:right w:val="single" w:sz="4" w:color="000000"/>
            </w:tcBorders>
            <w:vAlign w:val="top"/>
          </w:tcPr>
          <w:p>
            <w:pPr>
              <w:bidi w:val="0"/>
              <w:spacing w:before="0" w:after="160" w:line="259" w:lineRule="auto"/>
              <w:ind w:left="0" w:right="0" w:firstLine="0"/>
              <w:jc w:val="left"/>
            </w:pPr>
          </w:p>
        </w:tc>
        <w:tc>
          <w:tcPr>
            <w:tcW w:w="1890" w:type="dxa"/>
            <w:tcBorders>
              <w:top w:val="nil"/>
              <w:left w:val="single" w:sz="4" w:color="000000"/>
              <w:bottom w:val="nil"/>
              <w:right w:val="single" w:sz="4" w:color="000000"/>
            </w:tcBorders>
            <w:shd w:val="clear" w:fill="fde9d9"/>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Facilitate evaluation of the implementation of the Elections Expenses Act 2010 </w:t>
            </w:r>
          </w:p>
        </w:tc>
      </w:tr>
      <w:tr>
        <w:trPr>
          <w:trHeight w:val="316" w:hRule="atLeast"/>
        </w:trPr>
        <w:tc>
          <w:tcPr>
            <w:vMerge w:val="continue"/>
            <w:tcBorders>
              <w:top w:val="nil"/>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vMerge w:val="continue"/>
            <w:tcBorders>
              <w:top w:val="nil"/>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vMerge w:val="continue"/>
            <w:tcBorders>
              <w:top w:val="nil"/>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nil"/>
              <w:left w:val="single" w:sz="4" w:color="000000"/>
              <w:bottom w:val="single" w:sz="4" w:color="000000"/>
              <w:right w:val="single" w:sz="4" w:color="000000"/>
            </w:tcBorders>
            <w:shd w:val="clear" w:fill="fde9d9"/>
            <w:vAlign w:val="center"/>
          </w:tcPr>
          <w:p>
            <w:pPr>
              <w:bidi w:val="0"/>
              <w:spacing w:before="0" w:after="160" w:line="259" w:lineRule="auto"/>
              <w:ind w:left="0" w:right="0" w:firstLine="0"/>
              <w:jc w:val="left"/>
            </w:pPr>
          </w:p>
        </w:tc>
        <w:tc>
          <w:tcPr>
            <w:tcW w:w="2831" w:type="dxa"/>
            <w:tcBorders>
              <w:top w:val="single" w:sz="4" w:color="000000"/>
              <w:left w:val="single" w:sz="4" w:color="000000"/>
              <w:bottom w:val="double" w:sz="4" w:color="000000"/>
              <w:right w:val="single" w:sz="4" w:color="000000"/>
            </w:tcBorders>
            <w:vAlign w:val="top"/>
          </w:tcPr>
          <w:p>
            <w:pPr>
              <w:spacing w:before="0" w:after="117" w:line="259" w:lineRule="auto"/>
              <w:ind w:left="19" w:right="0" w:firstLine="0"/>
            </w:pPr>
            <w:r>
              <w:rPr>
                <w:rFonts w:cs="Times New Roman" w:hAnsi="Times New Roman" w:eastAsia="Times New Roman" w:ascii="Times New Roman"/>
                <w:sz w:val="11"/>
              </w:rPr>
              <w:t xml:space="preserve">Multi--</w:t>
            </w:r>
            <w:r>
              <w:rPr>
                <w:rFonts w:cs="Calibri" w:hAnsi="Calibri" w:eastAsia="Calibri" w:ascii="Calibri"/>
                <w:sz w:val="11"/>
              </w:rPr>
              <w:t xml:space="preserve">‐</w:t>
            </w:r>
            <w:r>
              <w:rPr>
                <w:rFonts w:cs="Times New Roman" w:hAnsi="Times New Roman" w:eastAsia="Times New Roman" w:ascii="Times New Roman"/>
                <w:sz w:val="11"/>
              </w:rPr>
              <w:t xml:space="preserve">stakeholder dialog on improved framework for elections </w:t>
            </w:r>
          </w:p>
          <w:p>
            <w:pPr>
              <w:spacing w:before="0" w:after="0" w:line="259" w:lineRule="auto"/>
              <w:ind w:left="19" w:right="0" w:firstLine="0"/>
              <w:jc w:val="left"/>
            </w:pPr>
            <w:r>
              <w:rPr>
                <w:rFonts w:cs="Times New Roman" w:hAnsi="Times New Roman" w:eastAsia="Times New Roman" w:ascii="Times New Roman"/>
                <w:sz w:val="11"/>
              </w:rPr>
              <w:t xml:space="preserve">Support to judiciary on EDR for constitutional review </w:t>
            </w:r>
          </w:p>
        </w:tc>
      </w:tr>
      <w:tr>
        <w:trPr>
          <w:trHeight w:val="235" w:hRule="atLeast"/>
        </w:trPr>
        <w:tc>
          <w:tcPr>
            <w:tcW w:w="4630" w:type="dxa"/>
            <w:gridSpan w:val="2"/>
            <w:tcBorders>
              <w:top w:val="single" w:sz="4" w:color="000000"/>
              <w:left w:val="single" w:sz="4" w:color="000000"/>
              <w:bottom w:val="single" w:sz="9" w:color="000000"/>
              <w:right w:val="nil"/>
            </w:tcBorders>
            <w:shd w:val="clear" w:fill="8db4e1"/>
            <w:vAlign w:val="top"/>
          </w:tcPr>
          <w:p>
            <w:pPr>
              <w:spacing w:before="0" w:after="0" w:line="259" w:lineRule="auto"/>
              <w:ind w:left="19" w:right="0" w:firstLine="0"/>
            </w:pPr>
            <w:r>
              <w:rPr>
                <w:rFonts w:cs="Times New Roman" w:hAnsi="Times New Roman" w:eastAsia="Times New Roman" w:ascii="Times New Roman"/>
                <w:b w:val="1"/>
                <w:color w:val="ffffff"/>
                <w:sz w:val="11"/>
              </w:rPr>
              <w:t xml:space="preserve">COMPONENT 2: SUPPORT IMPROVEMENT OF EMB INTEGRITY AND MANAGEMENT CAP</w:t>
            </w:r>
          </w:p>
        </w:tc>
        <w:tc>
          <w:tcPr>
            <w:tcW w:w="1787" w:type="dxa"/>
            <w:tcBorders>
              <w:top w:val="single" w:sz="4" w:color="000000"/>
              <w:left w:val="nil"/>
              <w:bottom w:val="single" w:sz="9" w:color="000000"/>
              <w:right w:val="nil"/>
            </w:tcBorders>
            <w:shd w:val="clear" w:fill="8db4e1"/>
            <w:vAlign w:val="top"/>
          </w:tcPr>
          <w:p>
            <w:pPr>
              <w:spacing w:before="0" w:after="0" w:line="259" w:lineRule="auto"/>
              <w:ind w:left="-56" w:right="0" w:firstLine="0"/>
              <w:jc w:val="left"/>
            </w:pPr>
            <w:r>
              <w:rPr>
                <w:rFonts w:cs="Times New Roman" w:hAnsi="Times New Roman" w:eastAsia="Times New Roman" w:ascii="Times New Roman"/>
                <w:b w:val="1"/>
                <w:color w:val="ffffff"/>
                <w:sz w:val="11"/>
              </w:rPr>
              <w:t xml:space="preserve">ACITIES</w:t>
            </w:r>
          </w:p>
        </w:tc>
        <w:tc>
          <w:tcPr>
            <w:tcW w:w="1890" w:type="dxa"/>
            <w:tcBorders>
              <w:top w:val="single" w:sz="4" w:color="000000"/>
              <w:left w:val="nil"/>
              <w:bottom w:val="single" w:sz="9" w:color="000000"/>
              <w:right w:val="nil"/>
            </w:tcBorders>
            <w:shd w:val="clear" w:fill="8db4e1"/>
            <w:vAlign w:val="bottom"/>
          </w:tcPr>
          <w:p>
            <w:pPr>
              <w:bidi w:val="0"/>
              <w:spacing w:before="0" w:after="160" w:line="259" w:lineRule="auto"/>
              <w:ind w:left="0" w:right="0" w:firstLine="0"/>
              <w:jc w:val="left"/>
            </w:pPr>
          </w:p>
        </w:tc>
        <w:tc>
          <w:tcPr>
            <w:tcW w:w="2831" w:type="dxa"/>
            <w:tcBorders>
              <w:top w:val="double" w:sz="4" w:color="000000"/>
              <w:left w:val="nil"/>
              <w:bottom w:val="single" w:sz="9" w:color="000000"/>
              <w:right w:val="single" w:sz="4" w:color="000000"/>
            </w:tcBorders>
            <w:shd w:val="clear" w:fill="8db4e1"/>
            <w:vAlign w:val="bottom"/>
          </w:tcPr>
          <w:p>
            <w:pPr>
              <w:bidi w:val="0"/>
              <w:spacing w:before="0" w:after="160" w:line="259" w:lineRule="auto"/>
              <w:ind w:left="0" w:right="0" w:firstLine="0"/>
              <w:jc w:val="left"/>
            </w:pPr>
          </w:p>
        </w:tc>
      </w:tr>
      <w:tr>
        <w:trPr>
          <w:trHeight w:val="264" w:hRule="atLeast"/>
        </w:trPr>
        <w:tc>
          <w:tcPr>
            <w:tcW w:w="2275" w:type="dxa"/>
            <w:tcBorders>
              <w:top w:val="single" w:sz="9"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Outcome </w:t>
            </w:r>
          </w:p>
        </w:tc>
        <w:tc>
          <w:tcPr>
            <w:tcW w:w="2355" w:type="dxa"/>
            <w:tcBorders>
              <w:top w:val="single" w:sz="9" w:color="000000"/>
              <w:left w:val="single" w:sz="4" w:color="000000"/>
              <w:bottom w:val="single" w:sz="4" w:color="000000"/>
              <w:right w:val="nil"/>
            </w:tcBorders>
            <w:shd w:val="clear" w:fill="c5d9f1"/>
            <w:vAlign w:val="top"/>
          </w:tcPr>
          <w:p>
            <w:pPr>
              <w:spacing w:before="0" w:after="0" w:line="259" w:lineRule="auto"/>
              <w:ind w:left="19" w:right="0" w:hanging="0"/>
              <w:jc w:val="left"/>
            </w:pPr>
            <w:r>
              <w:rPr>
                <w:rFonts w:cs="Times New Roman" w:hAnsi="Times New Roman" w:eastAsia="Times New Roman" w:ascii="Times New Roman"/>
                <w:sz w:val="11"/>
              </w:rPr>
              <w:t xml:space="preserve">2.  The development of NEC and ZEC integrity and m professionalism, efficiency and accountability.</w:t>
            </w:r>
          </w:p>
        </w:tc>
        <w:tc>
          <w:tcPr>
            <w:tcW w:w="1787" w:type="dxa"/>
            <w:tcBorders>
              <w:top w:val="single" w:sz="9" w:color="000000"/>
              <w:left w:val="nil"/>
              <w:bottom w:val="single" w:sz="4" w:color="000000"/>
              <w:right w:val="nil"/>
            </w:tcBorders>
            <w:shd w:val="clear" w:fill="c5d9f1"/>
            <w:vAlign w:val="top"/>
          </w:tcPr>
          <w:p>
            <w:pPr>
              <w:spacing w:before="0" w:after="0" w:line="259" w:lineRule="auto"/>
              <w:ind w:left="-37" w:right="0" w:firstLine="0"/>
            </w:pPr>
            <w:r>
              <w:rPr>
                <w:rFonts w:cs="Times New Roman" w:hAnsi="Times New Roman" w:eastAsia="Times New Roman" w:ascii="Times New Roman"/>
                <w:sz w:val="11"/>
              </w:rPr>
              <w:t xml:space="preserve">anagement systems with a view to strength</w:t>
            </w:r>
          </w:p>
        </w:tc>
        <w:tc>
          <w:tcPr>
            <w:tcW w:w="1890" w:type="dxa"/>
            <w:tcBorders>
              <w:top w:val="single" w:sz="9" w:color="000000"/>
              <w:left w:val="nil"/>
              <w:bottom w:val="single" w:sz="4" w:color="000000"/>
              <w:right w:val="nil"/>
            </w:tcBorders>
            <w:shd w:val="clear" w:fill="c5d9f1"/>
            <w:vAlign w:val="top"/>
          </w:tcPr>
          <w:p>
            <w:pPr>
              <w:spacing w:before="0" w:after="0" w:line="259" w:lineRule="auto"/>
              <w:ind w:left="-8" w:right="0" w:firstLine="0"/>
            </w:pPr>
            <w:r>
              <w:rPr>
                <w:rFonts w:cs="Times New Roman" w:hAnsi="Times New Roman" w:eastAsia="Times New Roman" w:ascii="Times New Roman"/>
                <w:sz w:val="11"/>
              </w:rPr>
              <w:t xml:space="preserve">ening their capacity to effectively deliver on</w:t>
            </w:r>
          </w:p>
        </w:tc>
        <w:tc>
          <w:tcPr>
            <w:tcW w:w="2831" w:type="dxa"/>
            <w:tcBorders>
              <w:top w:val="single" w:sz="9" w:color="000000"/>
              <w:left w:val="nil"/>
              <w:bottom w:val="single" w:sz="4" w:color="000000"/>
              <w:right w:val="single" w:sz="4" w:color="000000"/>
            </w:tcBorders>
            <w:shd w:val="clear" w:fill="c5d9f1"/>
            <w:vAlign w:val="top"/>
          </w:tcPr>
          <w:p>
            <w:pPr>
              <w:spacing w:before="0" w:after="0" w:line="259" w:lineRule="auto"/>
              <w:ind w:left="-26" w:right="0" w:firstLine="0"/>
              <w:jc w:val="left"/>
            </w:pPr>
            <w:r>
              <w:rPr>
                <w:rFonts w:cs="Times New Roman" w:hAnsi="Times New Roman" w:eastAsia="Times New Roman" w:ascii="Times New Roman"/>
                <w:sz w:val="11"/>
              </w:rPr>
              <w:t xml:space="preserve"> their core mandate with greater  independence, credibility, </w:t>
            </w:r>
          </w:p>
        </w:tc>
      </w:tr>
      <w:tr>
        <w:trPr>
          <w:trHeight w:val="799" w:hRule="atLeast"/>
        </w:trPr>
        <w:tc>
          <w:tcPr>
            <w:tcW w:w="2275" w:type="dxa"/>
            <w:tcBorders>
              <w:top w:val="single" w:sz="4" w:color="000000"/>
              <w:left w:val="single" w:sz="4" w:color="000000"/>
              <w:bottom w:val="single" w:sz="4" w:color="000000"/>
              <w:right w:val="single" w:sz="4" w:color="000000"/>
            </w:tcBorders>
            <w:shd w:val="clear" w:fill="c5d9f1"/>
            <w:vAlign w:val="center"/>
          </w:tcPr>
          <w:p>
            <w:pPr>
              <w:spacing w:before="0" w:after="0" w:line="259" w:lineRule="auto"/>
              <w:ind w:left="19" w:right="0" w:firstLine="0"/>
              <w:jc w:val="left"/>
            </w:pPr>
            <w:r>
              <w:rPr>
                <w:rFonts w:cs="Times New Roman" w:hAnsi="Times New Roman" w:eastAsia="Times New Roman" w:ascii="Times New Roman"/>
                <w:b w:val="1"/>
                <w:sz w:val="11"/>
              </w:rPr>
              <w:t xml:space="preserve">Outputs</w:t>
            </w:r>
          </w:p>
        </w:tc>
        <w:tc>
          <w:tcPr>
            <w:tcW w:w="2355" w:type="dxa"/>
            <w:tcBorders>
              <w:top w:val="single" w:sz="4" w:color="000000"/>
              <w:left w:val="single" w:sz="4" w:color="000000"/>
              <w:bottom w:val="single" w:sz="4" w:color="000000"/>
              <w:right w:val="nil"/>
            </w:tcBorders>
            <w:shd w:val="clear" w:fill="c5d9f1"/>
            <w:vAlign w:val="top"/>
          </w:tcPr>
          <w:p>
            <w:pPr>
              <w:numPr>
                <w:ilvl w:val="0"/>
                <w:numId w:val="55"/>
              </w:numPr>
              <w:spacing w:before="0" w:after="0" w:line="259" w:lineRule="auto"/>
              <w:ind w:left="125" w:right="0" w:hanging="106"/>
            </w:pPr>
            <w:r>
              <w:rPr>
                <w:rFonts w:cs="Times New Roman" w:hAnsi="Times New Roman" w:eastAsia="Times New Roman" w:ascii="Times New Roman"/>
                <w:sz w:val="11"/>
              </w:rPr>
              <w:t xml:space="preserve">EMBs strategic planning and policy making capaciti</w:t>
            </w:r>
          </w:p>
          <w:p>
            <w:pPr>
              <w:numPr>
                <w:ilvl w:val="0"/>
                <w:numId w:val="55"/>
              </w:numPr>
              <w:spacing w:before="0" w:after="0" w:line="259" w:lineRule="auto"/>
              <w:ind w:left="125" w:right="0" w:hanging="106"/>
            </w:pPr>
            <w:r>
              <w:rPr>
                <w:rFonts w:cs="Times New Roman" w:hAnsi="Times New Roman" w:eastAsia="Times New Roman" w:ascii="Times New Roman"/>
                <w:sz w:val="11"/>
              </w:rPr>
              <w:t xml:space="preserve">EMB capacity to use ICT enhanced;                          </w:t>
            </w:r>
          </w:p>
          <w:p>
            <w:pPr>
              <w:numPr>
                <w:ilvl w:val="0"/>
                <w:numId w:val="55"/>
              </w:numPr>
              <w:spacing w:before="0" w:after="0" w:line="259" w:lineRule="auto"/>
              <w:ind w:left="125" w:right="0" w:hanging="106"/>
            </w:pPr>
            <w:r>
              <w:rPr>
                <w:rFonts w:cs="Times New Roman" w:hAnsi="Times New Roman" w:eastAsia="Times New Roman" w:ascii="Times New Roman"/>
                <w:sz w:val="11"/>
              </w:rPr>
              <w:t xml:space="preserve">EMBs capacity improved to conduct credible electo</w:t>
            </w:r>
          </w:p>
          <w:p>
            <w:pPr>
              <w:numPr>
                <w:ilvl w:val="0"/>
                <w:numId w:val="55"/>
              </w:numPr>
              <w:spacing w:before="0" w:after="0" w:line="259" w:lineRule="auto"/>
              <w:ind w:left="125" w:right="0" w:hanging="106"/>
            </w:pPr>
            <w:r>
              <w:rPr>
                <w:rFonts w:cs="Times New Roman" w:hAnsi="Times New Roman" w:eastAsia="Times New Roman" w:ascii="Times New Roman"/>
                <w:sz w:val="11"/>
              </w:rPr>
              <w:t xml:space="preserve">EMBs staff professional development enhanced;      </w:t>
            </w:r>
          </w:p>
          <w:p>
            <w:pPr>
              <w:numPr>
                <w:ilvl w:val="0"/>
                <w:numId w:val="55"/>
              </w:numPr>
              <w:spacing w:before="0" w:after="0" w:line="259" w:lineRule="auto"/>
              <w:ind w:left="125" w:right="0" w:hanging="106"/>
            </w:pPr>
            <w:r>
              <w:rPr>
                <w:rFonts w:cs="Times New Roman" w:hAnsi="Times New Roman" w:eastAsia="Times New Roman" w:ascii="Times New Roman"/>
                <w:sz w:val="11"/>
              </w:rPr>
              <w:t xml:space="preserve">Delivery of Civic and Voters education and informat</w:t>
            </w:r>
          </w:p>
          <w:p>
            <w:pPr>
              <w:numPr>
                <w:ilvl w:val="0"/>
                <w:numId w:val="55"/>
              </w:numPr>
              <w:spacing w:before="0" w:after="0" w:line="259" w:lineRule="auto"/>
              <w:ind w:left="125" w:right="0" w:hanging="106"/>
            </w:pPr>
            <w:r>
              <w:rPr>
                <w:rFonts w:cs="Times New Roman" w:hAnsi="Times New Roman" w:eastAsia="Times New Roman" w:ascii="Times New Roman"/>
                <w:sz w:val="11"/>
              </w:rPr>
              <w:t xml:space="preserve">Mechanism for election observer access to electoral </w:t>
            </w:r>
          </w:p>
        </w:tc>
        <w:tc>
          <w:tcPr>
            <w:tcW w:w="1787" w:type="dxa"/>
            <w:tcBorders>
              <w:top w:val="single" w:sz="4" w:color="000000"/>
              <w:left w:val="nil"/>
              <w:bottom w:val="single" w:sz="4" w:color="000000"/>
              <w:right w:val="nil"/>
            </w:tcBorders>
            <w:shd w:val="clear" w:fill="c5d9f1"/>
            <w:vAlign w:val="top"/>
          </w:tcPr>
          <w:p>
            <w:pPr>
              <w:spacing w:before="0" w:after="0" w:line="259" w:lineRule="auto"/>
              <w:ind w:left="-9" w:right="0" w:firstLine="0"/>
            </w:pPr>
            <w:r>
              <w:rPr>
                <w:rFonts w:cs="Times New Roman" w:hAnsi="Times New Roman" w:eastAsia="Times New Roman" w:ascii="Times New Roman"/>
                <w:sz w:val="11"/>
              </w:rPr>
              <w:t xml:space="preserve">es improved;                                               </w:t>
            </w:r>
          </w:p>
          <w:p>
            <w:pPr>
              <w:spacing w:before="0" w:after="0" w:line="259" w:lineRule="auto"/>
              <w:ind w:left="-33" w:right="4" w:firstLine="0"/>
              <w:jc w:val="right"/>
            </w:pPr>
            <w:r>
              <w:rPr>
                <w:rFonts w:cs="Times New Roman" w:hAnsi="Times New Roman" w:eastAsia="Times New Roman" w:ascii="Times New Roman"/>
                <w:sz w:val="11"/>
              </w:rPr>
              <w:t xml:space="preserve">                                                                   ral processes;                                                                                                                   ion improved and extended to hard to reac process improved.</w:t>
            </w:r>
          </w:p>
        </w:tc>
        <w:tc>
          <w:tcPr>
            <w:tcW w:w="1890" w:type="dxa"/>
            <w:tcBorders>
              <w:top w:val="single" w:sz="4" w:color="000000"/>
              <w:left w:val="nil"/>
              <w:bottom w:val="single" w:sz="4" w:color="000000"/>
              <w:right w:val="nil"/>
            </w:tcBorders>
            <w:shd w:val="clear" w:fill="c5d9f1"/>
            <w:vAlign w:val="top"/>
          </w:tcPr>
          <w:p>
            <w:pPr>
              <w:spacing w:before="0" w:after="0" w:line="259" w:lineRule="auto"/>
              <w:ind w:left="-3" w:right="0" w:firstLine="0"/>
            </w:pPr>
            <w:r>
              <w:rPr>
                <w:rFonts w:cs="Times New Roman" w:hAnsi="Times New Roman" w:eastAsia="Times New Roman" w:ascii="Times New Roman"/>
                <w:sz w:val="11"/>
              </w:rPr>
              <w:t xml:space="preserve">                                                                       </w:t>
            </w:r>
          </w:p>
          <w:p>
            <w:pPr>
              <w:spacing w:before="0" w:after="0" w:line="259" w:lineRule="auto"/>
              <w:ind w:left="-24" w:right="0" w:firstLine="0"/>
            </w:pPr>
            <w:r>
              <w:rPr>
                <w:rFonts w:cs="Times New Roman" w:hAnsi="Times New Roman" w:eastAsia="Times New Roman" w:ascii="Times New Roman"/>
                <w:sz w:val="11"/>
              </w:rPr>
              <w:t xml:space="preserve">                                                                        </w:t>
            </w:r>
          </w:p>
          <w:p>
            <w:pPr>
              <w:spacing w:before="0" w:after="0" w:line="259" w:lineRule="auto"/>
              <w:ind w:left="-4" w:right="0" w:firstLine="0"/>
            </w:pPr>
            <w:r>
              <w:rPr>
                <w:rFonts w:cs="Times New Roman" w:hAnsi="Times New Roman" w:eastAsia="Times New Roman" w:ascii="Times New Roman"/>
                <w:sz w:val="11"/>
              </w:rPr>
              <w:t xml:space="preserve">                                                                       </w:t>
            </w:r>
          </w:p>
          <w:p>
            <w:pPr>
              <w:spacing w:before="0" w:after="0" w:line="259" w:lineRule="auto"/>
              <w:ind w:left="-8" w:right="17" w:firstLine="0"/>
              <w:jc w:val="right"/>
            </w:pPr>
            <w:r>
              <w:rPr>
                <w:rFonts w:cs="Times New Roman" w:hAnsi="Times New Roman" w:eastAsia="Times New Roman" w:ascii="Times New Roman"/>
                <w:sz w:val="11"/>
              </w:rPr>
              <w:t xml:space="preserve">                                                                       h citizens;                                                       </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16" w:right="-9" w:firstLine="0"/>
            </w:pPr>
            <w:r>
              <w:rPr>
                <w:rFonts w:cs="Times New Roman" w:hAnsi="Times New Roman" w:eastAsia="Times New Roman" w:ascii="Times New Roman"/>
                <w:sz w:val="11"/>
              </w:rPr>
              <w:t xml:space="preserve">                                                                                                            </w:t>
            </w:r>
          </w:p>
          <w:p>
            <w:pPr>
              <w:spacing w:before="0" w:after="0" w:line="259" w:lineRule="auto"/>
              <w:ind w:left="-10" w:right="0" w:firstLine="0"/>
              <w:jc w:val="left"/>
            </w:pPr>
            <w:r>
              <w:rPr>
                <w:rFonts w:cs="Times New Roman" w:hAnsi="Times New Roman" w:eastAsia="Times New Roman" w:ascii="Times New Roman"/>
                <w:sz w:val="11"/>
              </w:rPr>
              <w:t xml:space="preserve">                                                                                                         </w:t>
            </w:r>
          </w:p>
          <w:p>
            <w:pPr>
              <w:spacing w:before="0" w:after="0" w:line="259" w:lineRule="auto"/>
              <w:ind w:left="-17" w:right="-8" w:firstLine="0"/>
            </w:pPr>
            <w:r>
              <w:rPr>
                <w:rFonts w:cs="Times New Roman" w:hAnsi="Times New Roman" w:eastAsia="Times New Roman" w:ascii="Times New Roman"/>
                <w:sz w:val="11"/>
              </w:rPr>
              <w:t xml:space="preserve">                                                                                                            </w:t>
            </w:r>
          </w:p>
          <w:p>
            <w:pPr>
              <w:spacing w:before="0" w:after="0" w:line="259" w:lineRule="auto"/>
              <w:ind w:left="-17" w:right="-8" w:firstLine="0"/>
            </w:pPr>
            <w:r>
              <w:rPr>
                <w:rFonts w:cs="Times New Roman" w:hAnsi="Times New Roman" w:eastAsia="Times New Roman" w:ascii="Times New Roman"/>
                <w:sz w:val="11"/>
              </w:rPr>
              <w:t xml:space="preserve">                                                                                                            </w:t>
            </w:r>
          </w:p>
          <w:p>
            <w:pPr>
              <w:spacing w:before="0" w:after="0" w:line="259" w:lineRule="auto"/>
              <w:ind w:left="-12" w:right="0" w:firstLine="0"/>
            </w:pPr>
            <w:r>
              <w:rPr>
                <w:rFonts w:cs="Times New Roman" w:hAnsi="Times New Roman" w:eastAsia="Times New Roman" w:ascii="Times New Roman"/>
                <w:sz w:val="11"/>
              </w:rPr>
              <w:t xml:space="preserve">                                                                                                           </w:t>
            </w:r>
          </w:p>
        </w:tc>
      </w:tr>
      <w:tr>
        <w:trPr>
          <w:trHeight w:val="1217"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Baseline</w:t>
            </w:r>
          </w:p>
        </w:tc>
        <w:tc>
          <w:tcPr>
            <w:tcW w:w="2355" w:type="dxa"/>
            <w:tcBorders>
              <w:top w:val="single" w:sz="4" w:color="000000"/>
              <w:left w:val="single" w:sz="4" w:color="000000"/>
              <w:bottom w:val="single" w:sz="4" w:color="000000"/>
              <w:right w:val="nil"/>
            </w:tcBorders>
            <w:shd w:val="clear" w:fill="c5d9f1"/>
            <w:vAlign w:val="top"/>
          </w:tcPr>
          <w:p>
            <w:pPr>
              <w:spacing w:before="0" w:after="0" w:line="245" w:lineRule="auto"/>
              <w:ind w:left="19" w:right="0" w:firstLine="0"/>
              <w:jc w:val="left"/>
            </w:pPr>
            <w:r>
              <w:rPr>
                <w:rFonts w:cs="Times New Roman" w:hAnsi="Times New Roman" w:eastAsia="Times New Roman" w:ascii="Times New Roman"/>
                <w:sz w:val="11"/>
              </w:rPr>
              <w:t xml:space="preserve">1. EMBs institutional and strategic frameworks are ge 2. A decision to upgrade the Voters Registration syste existing Biometric system procured in 2010;                 management capacity have be questions in several obs 4. Tanzania has few election experts who are BRIDGE analysts alike;                                                                 </w:t>
            </w:r>
          </w:p>
          <w:p>
            <w:pPr>
              <w:spacing w:before="0" w:after="0" w:line="259" w:lineRule="auto"/>
              <w:ind w:left="19" w:right="0" w:firstLine="0"/>
              <w:jc w:val="left"/>
            </w:pPr>
            <w:r>
              <w:rPr>
                <w:rFonts w:cs="Times New Roman" w:hAnsi="Times New Roman" w:eastAsia="Times New Roman" w:ascii="Times New Roman"/>
                <w:sz w:val="11"/>
              </w:rPr>
              <w:t xml:space="preserve">Observer missions and related studies following the 20 targetting women, youth, and PWDs;                            communication and coordination of its relationship wit</w:t>
            </w:r>
          </w:p>
        </w:tc>
        <w:tc>
          <w:tcPr>
            <w:tcW w:w="1787" w:type="dxa"/>
            <w:tcBorders>
              <w:top w:val="single" w:sz="4" w:color="000000"/>
              <w:left w:val="nil"/>
              <w:bottom w:val="single" w:sz="4" w:color="000000"/>
              <w:right w:val="nil"/>
            </w:tcBorders>
            <w:shd w:val="clear" w:fill="c5d9f1"/>
            <w:vAlign w:val="top"/>
          </w:tcPr>
          <w:p>
            <w:pPr>
              <w:spacing w:before="0" w:after="0" w:line="259" w:lineRule="auto"/>
              <w:ind w:left="-50" w:right="0" w:firstLine="0"/>
              <w:jc w:val="left"/>
            </w:pPr>
            <w:r>
              <w:rPr>
                <w:rFonts w:cs="Times New Roman" w:hAnsi="Times New Roman" w:eastAsia="Times New Roman" w:ascii="Times New Roman"/>
                <w:sz w:val="11"/>
              </w:rPr>
              <w:t xml:space="preserve">nerally considered by stakeholders as lacki</w:t>
            </w:r>
          </w:p>
          <w:p>
            <w:pPr>
              <w:spacing w:before="0" w:after="0" w:line="259" w:lineRule="auto"/>
              <w:ind w:left="-80" w:right="0" w:firstLine="0"/>
              <w:jc w:val="left"/>
            </w:pPr>
            <w:r>
              <w:rPr>
                <w:rFonts w:cs="Times New Roman" w:hAnsi="Times New Roman" w:eastAsia="Times New Roman" w:ascii="Times New Roman"/>
                <w:sz w:val="11"/>
              </w:rPr>
              <w:t xml:space="preserve">m to Biometric was made by the NEC in 20</w:t>
            </w:r>
          </w:p>
          <w:p>
            <w:pPr>
              <w:spacing w:before="0" w:after="0" w:line="245" w:lineRule="auto"/>
              <w:ind w:left="-29" w:right="18" w:firstLine="1"/>
              <w:jc w:val="right"/>
            </w:pPr>
            <w:r>
              <w:rPr>
                <w:rFonts w:cs="Times New Roman" w:hAnsi="Times New Roman" w:eastAsia="Times New Roman" w:ascii="Times New Roman"/>
                <w:sz w:val="11"/>
              </w:rPr>
              <w:t xml:space="preserve">                                                                   erver reports. Including the EU;                  trained and accredited as training facilitat</w:t>
            </w:r>
          </w:p>
          <w:p>
            <w:pPr>
              <w:spacing w:before="0" w:after="0" w:line="259" w:lineRule="auto"/>
              <w:ind w:left="-14" w:right="0" w:firstLine="0"/>
            </w:pPr>
            <w:r>
              <w:rPr>
                <w:rFonts w:cs="Times New Roman" w:hAnsi="Times New Roman" w:eastAsia="Times New Roman" w:ascii="Times New Roman"/>
                <w:sz w:val="11"/>
              </w:rPr>
              <w:t xml:space="preserve">                                                                    </w:t>
            </w:r>
          </w:p>
          <w:p>
            <w:pPr>
              <w:spacing w:before="0" w:after="0" w:line="259" w:lineRule="auto"/>
              <w:ind w:left="-12" w:right="0" w:firstLine="0"/>
            </w:pPr>
            <w:r>
              <w:rPr>
                <w:rFonts w:cs="Times New Roman" w:hAnsi="Times New Roman" w:eastAsia="Times New Roman" w:ascii="Times New Roman"/>
                <w:sz w:val="11"/>
              </w:rPr>
              <w:t xml:space="preserve">10 elections pointed to the need for voter </w:t>
            </w:r>
          </w:p>
          <w:p>
            <w:pPr>
              <w:spacing w:before="0" w:after="0" w:line="259" w:lineRule="auto"/>
              <w:ind w:left="-8" w:right="0" w:hanging="14"/>
              <w:jc w:val="left"/>
            </w:pPr>
            <w:r>
              <w:rPr>
                <w:rFonts w:cs="Times New Roman" w:hAnsi="Times New Roman" w:eastAsia="Times New Roman" w:ascii="Times New Roman"/>
                <w:sz w:val="11"/>
              </w:rPr>
              <w:t xml:space="preserve">                                                                    h election observation needs strengthened </w:t>
            </w:r>
          </w:p>
        </w:tc>
        <w:tc>
          <w:tcPr>
            <w:tcW w:w="1890" w:type="dxa"/>
            <w:tcBorders>
              <w:top w:val="single" w:sz="4" w:color="000000"/>
              <w:left w:val="nil"/>
              <w:bottom w:val="single" w:sz="4" w:color="000000"/>
              <w:right w:val="nil"/>
            </w:tcBorders>
            <w:shd w:val="clear" w:fill="c5d9f1"/>
            <w:vAlign w:val="top"/>
          </w:tcPr>
          <w:p>
            <w:pPr>
              <w:spacing w:before="0" w:after="0" w:line="259" w:lineRule="auto"/>
              <w:ind w:left="-24" w:right="0" w:firstLine="0"/>
              <w:jc w:val="left"/>
            </w:pPr>
            <w:r>
              <w:rPr>
                <w:rFonts w:cs="Times New Roman" w:hAnsi="Times New Roman" w:eastAsia="Times New Roman" w:ascii="Times New Roman"/>
                <w:sz w:val="11"/>
              </w:rPr>
              <w:t xml:space="preserve">ng independence, transparency and modern </w:t>
            </w:r>
          </w:p>
          <w:p>
            <w:pPr>
              <w:spacing w:before="0" w:after="0" w:line="259" w:lineRule="auto"/>
              <w:ind w:left="-13" w:right="0" w:firstLine="0"/>
            </w:pPr>
            <w:r>
              <w:rPr>
                <w:rFonts w:cs="Times New Roman" w:hAnsi="Times New Roman" w:eastAsia="Times New Roman" w:ascii="Times New Roman"/>
                <w:sz w:val="11"/>
              </w:rPr>
              <w:t xml:space="preserve">11 to address stakeholder lack of trust in the </w:t>
            </w:r>
          </w:p>
          <w:p>
            <w:pPr>
              <w:spacing w:before="0" w:after="0" w:line="259" w:lineRule="auto"/>
              <w:ind w:left="-18" w:right="0" w:firstLine="0"/>
            </w:pPr>
            <w:r>
              <w:rPr>
                <w:rFonts w:cs="Times New Roman" w:hAnsi="Times New Roman" w:eastAsia="Times New Roman" w:ascii="Times New Roman"/>
                <w:sz w:val="11"/>
              </w:rPr>
              <w:t xml:space="preserve">                                                                        </w:t>
            </w:r>
          </w:p>
          <w:p>
            <w:pPr>
              <w:spacing w:before="0" w:after="0" w:line="245" w:lineRule="auto"/>
              <w:ind w:left="-28" w:right="0" w:firstLine="10"/>
              <w:jc w:val="left"/>
            </w:pPr>
            <w:r>
              <w:rPr>
                <w:rFonts w:cs="Times New Roman" w:hAnsi="Times New Roman" w:eastAsia="Times New Roman" w:ascii="Times New Roman"/>
                <w:sz w:val="11"/>
              </w:rPr>
              <w:t xml:space="preserve">                                                                        ors. More importantly, the professional capac</w:t>
            </w:r>
          </w:p>
          <w:p>
            <w:pPr>
              <w:spacing w:before="0" w:after="0" w:line="245" w:lineRule="auto"/>
              <w:ind w:left="-36" w:right="0" w:firstLine="33"/>
              <w:jc w:val="left"/>
            </w:pPr>
            <w:r>
              <w:rPr>
                <w:rFonts w:cs="Times New Roman" w:hAnsi="Times New Roman" w:eastAsia="Times New Roman" w:ascii="Times New Roman"/>
                <w:sz w:val="11"/>
              </w:rPr>
              <w:t xml:space="preserve">                                                                       education to be intensified across the country</w:t>
            </w:r>
          </w:p>
          <w:p>
            <w:pPr>
              <w:spacing w:before="0" w:after="0" w:line="259" w:lineRule="auto"/>
              <w:ind w:left="-1" w:right="0" w:hanging="10"/>
              <w:jc w:val="left"/>
            </w:pPr>
            <w:r>
              <w:rPr>
                <w:rFonts w:cs="Times New Roman" w:hAnsi="Times New Roman" w:eastAsia="Times New Roman" w:ascii="Times New Roman"/>
                <w:sz w:val="11"/>
              </w:rPr>
              <w:t xml:space="preserve">                                                                       based on past election observer mission rep</w:t>
            </w:r>
          </w:p>
        </w:tc>
        <w:tc>
          <w:tcPr>
            <w:tcW w:w="2831" w:type="dxa"/>
            <w:tcBorders>
              <w:top w:val="single" w:sz="4" w:color="000000"/>
              <w:left w:val="nil"/>
              <w:bottom w:val="single" w:sz="4" w:color="000000"/>
              <w:right w:val="single" w:sz="4" w:color="000000"/>
            </w:tcBorders>
            <w:shd w:val="clear" w:fill="c5d9f1"/>
            <w:vAlign w:val="top"/>
          </w:tcPr>
          <w:p>
            <w:pPr>
              <w:spacing w:before="0" w:after="0" w:line="245" w:lineRule="auto"/>
              <w:ind w:left="-12" w:right="0" w:hanging="40"/>
              <w:jc w:val="left"/>
            </w:pPr>
            <w:r>
              <w:rPr>
                <w:rFonts w:cs="Times New Roman" w:hAnsi="Times New Roman" w:eastAsia="Times New Roman" w:ascii="Times New Roman"/>
                <w:sz w:val="11"/>
              </w:rPr>
              <w:t xml:space="preserve">management approaches;                                                                    current VR system. ZEC need to update voter registers using </w:t>
            </w:r>
          </w:p>
          <w:p>
            <w:pPr>
              <w:spacing w:before="0" w:after="0" w:line="245" w:lineRule="auto"/>
              <w:ind w:left="-5" w:right="4" w:firstLine="1"/>
            </w:pPr>
            <w:r>
              <w:rPr>
                <w:rFonts w:cs="Times New Roman" w:hAnsi="Times New Roman" w:eastAsia="Times New Roman" w:ascii="Times New Roman"/>
                <w:sz w:val="11"/>
              </w:rPr>
              <w:t xml:space="preserve">                                                                      3. EMBs integrity and                                                                                                            ity of EMB staff has been questioned by election observers and </w:t>
            </w:r>
          </w:p>
          <w:p>
            <w:pPr>
              <w:numPr>
                <w:ilvl w:val="0"/>
                <w:numId w:val="56"/>
              </w:numPr>
              <w:spacing w:before="0" w:after="0" w:line="245" w:lineRule="auto"/>
              <w:ind w:left="0" w:right="71" w:firstLine="0"/>
              <w:jc w:val="left"/>
            </w:pPr>
            <w:r>
              <w:rPr>
                <w:rFonts w:cs="Times New Roman" w:hAnsi="Times New Roman" w:eastAsia="Times New Roman" w:ascii="Times New Roman"/>
                <w:sz w:val="11"/>
              </w:rPr>
              <w:t xml:space="preserve"> especially to reach the marginalized groups in a timely manner, </w:t>
            </w:r>
          </w:p>
          <w:p>
            <w:pPr>
              <w:numPr>
                <w:ilvl w:val="0"/>
                <w:numId w:val="56"/>
              </w:numPr>
              <w:spacing w:before="0" w:after="0" w:line="259" w:lineRule="auto"/>
              <w:ind w:left="0" w:right="71" w:firstLine="0"/>
              <w:jc w:val="left"/>
            </w:pPr>
            <w:r>
              <w:rPr>
                <w:rFonts w:cs="Times New Roman" w:hAnsi="Times New Roman" w:eastAsia="Times New Roman" w:ascii="Times New Roman"/>
                <w:sz w:val="11"/>
              </w:rPr>
              <w:t xml:space="preserve">EMBs orts and related assessments.</w:t>
            </w:r>
          </w:p>
        </w:tc>
      </w:tr>
      <w:tr>
        <w:trPr>
          <w:trHeight w:val="1008"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Targets</w:t>
            </w:r>
          </w:p>
        </w:tc>
        <w:tc>
          <w:tcPr>
            <w:tcW w:w="2355" w:type="dxa"/>
            <w:tcBorders>
              <w:top w:val="single" w:sz="4" w:color="000000"/>
              <w:left w:val="single" w:sz="4" w:color="000000"/>
              <w:bottom w:val="single" w:sz="4" w:color="000000"/>
              <w:right w:val="nil"/>
            </w:tcBorders>
            <w:shd w:val="clear" w:fill="c5d9f1"/>
            <w:vAlign w:val="top"/>
          </w:tcPr>
          <w:p>
            <w:pPr>
              <w:spacing w:before="0" w:after="0" w:line="245" w:lineRule="auto"/>
              <w:ind w:left="19" w:right="0" w:firstLine="1"/>
              <w:jc w:val="left"/>
            </w:pPr>
            <w:r>
              <w:rPr>
                <w:rFonts w:cs="Times New Roman" w:hAnsi="Times New Roman" w:eastAsia="Times New Roman" w:ascii="Times New Roman"/>
                <w:sz w:val="11"/>
              </w:rPr>
              <w:t xml:space="preserve">1. EMB management and operations   enhanced to fost 2a. A well planned and executed introduction and impl 2b. Zanzibar updates are completed in concurrence wit out their mandate to the stakeholder satisfaction.          A critical mass of election experts is trained in election</w:t>
            </w:r>
          </w:p>
          <w:p>
            <w:pPr>
              <w:numPr>
                <w:ilvl w:val="0"/>
                <w:numId w:val="57"/>
              </w:numPr>
              <w:spacing w:before="0" w:after="0" w:line="259" w:lineRule="auto"/>
              <w:ind w:left="126" w:right="0" w:hanging="106"/>
            </w:pPr>
            <w:r>
              <w:rPr>
                <w:rFonts w:cs="Times New Roman" w:hAnsi="Times New Roman" w:eastAsia="Times New Roman" w:ascii="Times New Roman"/>
                <w:sz w:val="11"/>
              </w:rPr>
              <w:t xml:space="preserve">Timely and comprehensive voters education planned</w:t>
            </w:r>
          </w:p>
          <w:p>
            <w:pPr>
              <w:numPr>
                <w:ilvl w:val="0"/>
                <w:numId w:val="57"/>
              </w:numPr>
              <w:spacing w:before="0" w:after="0" w:line="259" w:lineRule="auto"/>
              <w:ind w:left="126" w:right="0" w:hanging="106"/>
            </w:pPr>
            <w:r>
              <w:rPr>
                <w:rFonts w:cs="Times New Roman" w:hAnsi="Times New Roman" w:eastAsia="Times New Roman" w:ascii="Times New Roman"/>
                <w:sz w:val="11"/>
              </w:rPr>
              <w:t xml:space="preserve">EMBs capacity for observer facilitation enhanced in</w:t>
            </w:r>
          </w:p>
        </w:tc>
        <w:tc>
          <w:tcPr>
            <w:tcW w:w="1787" w:type="dxa"/>
            <w:tcBorders>
              <w:top w:val="single" w:sz="4" w:color="000000"/>
              <w:left w:val="nil"/>
              <w:bottom w:val="single" w:sz="4" w:color="000000"/>
              <w:right w:val="nil"/>
            </w:tcBorders>
            <w:shd w:val="clear" w:fill="c5d9f1"/>
            <w:vAlign w:val="top"/>
          </w:tcPr>
          <w:p>
            <w:pPr>
              <w:spacing w:before="0" w:after="0" w:line="259" w:lineRule="auto"/>
              <w:ind w:left="-24" w:right="6" w:firstLine="10"/>
              <w:jc w:val="left"/>
            </w:pPr>
            <w:r>
              <w:rPr>
                <w:rFonts w:cs="Times New Roman" w:hAnsi="Times New Roman" w:eastAsia="Times New Roman" w:ascii="Times New Roman"/>
                <w:sz w:val="11"/>
              </w:rPr>
              <w:t xml:space="preserve">er credible elections;                                  ementation of Biometric voter registration h legal provisions;                                                                                                           administration (at least 40% women) ther  and conducted by EMBs before the refer cluding EMB benefit (through lessons lear</w:t>
            </w:r>
          </w:p>
        </w:tc>
        <w:tc>
          <w:tcPr>
            <w:tcW w:w="1890" w:type="dxa"/>
            <w:tcBorders>
              <w:top w:val="single" w:sz="4" w:color="000000"/>
              <w:left w:val="nil"/>
              <w:bottom w:val="single" w:sz="4" w:color="000000"/>
              <w:right w:val="nil"/>
            </w:tcBorders>
            <w:shd w:val="clear" w:fill="c5d9f1"/>
            <w:vAlign w:val="top"/>
          </w:tcPr>
          <w:p>
            <w:pPr>
              <w:spacing w:before="0" w:after="0" w:line="245" w:lineRule="auto"/>
              <w:ind w:left="-25" w:right="7" w:firstLine="0"/>
              <w:jc w:val="right"/>
            </w:pPr>
            <w:r>
              <w:rPr>
                <w:rFonts w:cs="Times New Roman" w:hAnsi="Times New Roman" w:eastAsia="Times New Roman" w:ascii="Times New Roman"/>
                <w:sz w:val="11"/>
              </w:rPr>
              <w:t xml:space="preserve">                                                                         system for NEC;                                            </w:t>
            </w:r>
          </w:p>
          <w:p>
            <w:pPr>
              <w:spacing w:before="0" w:after="0" w:line="259" w:lineRule="auto"/>
              <w:ind w:left="-16" w:right="0" w:firstLine="0"/>
            </w:pPr>
            <w:r>
              <w:rPr>
                <w:rFonts w:cs="Times New Roman" w:hAnsi="Times New Roman" w:eastAsia="Times New Roman" w:ascii="Times New Roman"/>
                <w:sz w:val="11"/>
              </w:rPr>
              <w:t xml:space="preserve">                                                                        </w:t>
            </w:r>
          </w:p>
          <w:p>
            <w:pPr>
              <w:spacing w:before="0" w:after="0" w:line="259" w:lineRule="auto"/>
              <w:ind w:left="-6" w:right="0" w:firstLine="0"/>
            </w:pPr>
            <w:r>
              <w:rPr>
                <w:rFonts w:cs="Times New Roman" w:hAnsi="Times New Roman" w:eastAsia="Times New Roman" w:ascii="Times New Roman"/>
                <w:sz w:val="11"/>
              </w:rPr>
              <w:t xml:space="preserve">                                                                       </w:t>
            </w:r>
          </w:p>
          <w:p>
            <w:pPr>
              <w:spacing w:before="0" w:after="0" w:line="259" w:lineRule="auto"/>
              <w:ind w:left="-40" w:right="0" w:firstLine="21"/>
              <w:jc w:val="left"/>
            </w:pPr>
            <w:r>
              <w:rPr>
                <w:rFonts w:cs="Times New Roman" w:hAnsi="Times New Roman" w:eastAsia="Times New Roman" w:ascii="Times New Roman"/>
                <w:sz w:val="11"/>
              </w:rPr>
              <w:t xml:space="preserve">eby improving EMBs performance;               endum and general elections;                          nt) from election observer missions.</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7" w:right="0" w:firstLine="0"/>
            </w:pPr>
            <w:r>
              <w:rPr>
                <w:rFonts w:cs="Times New Roman" w:hAnsi="Times New Roman" w:eastAsia="Times New Roman" w:ascii="Times New Roman"/>
                <w:sz w:val="11"/>
              </w:rPr>
              <w:t xml:space="preserve">                                                                                                           </w:t>
            </w:r>
          </w:p>
          <w:p>
            <w:pPr>
              <w:spacing w:before="0" w:after="0" w:line="259" w:lineRule="auto"/>
              <w:ind w:left="-14" w:right="-10" w:firstLine="0"/>
            </w:pPr>
            <w:r>
              <w:rPr>
                <w:rFonts w:cs="Times New Roman" w:hAnsi="Times New Roman" w:eastAsia="Times New Roman" w:ascii="Times New Roman"/>
                <w:sz w:val="11"/>
              </w:rPr>
              <w:t xml:space="preserve">                                                                                                            </w:t>
            </w:r>
          </w:p>
          <w:p>
            <w:pPr>
              <w:spacing w:before="0" w:after="0" w:line="245" w:lineRule="auto"/>
              <w:ind w:left="-18" w:right="46" w:firstLine="0"/>
              <w:jc w:val="right"/>
            </w:pPr>
            <w:r>
              <w:rPr>
                <w:rFonts w:cs="Times New Roman" w:hAnsi="Times New Roman" w:eastAsia="Times New Roman" w:ascii="Times New Roman"/>
                <w:sz w:val="11"/>
              </w:rPr>
              <w:t xml:space="preserve">                                                                                  3. EMBs carry                                                                                                        4. </w:t>
            </w:r>
          </w:p>
          <w:p>
            <w:pPr>
              <w:spacing w:before="0" w:after="0" w:line="259" w:lineRule="auto"/>
              <w:ind w:left="-6" w:right="0" w:firstLine="0"/>
            </w:pPr>
            <w:r>
              <w:rPr>
                <w:rFonts w:cs="Times New Roman" w:hAnsi="Times New Roman" w:eastAsia="Times New Roman" w:ascii="Times New Roman"/>
                <w:sz w:val="11"/>
              </w:rPr>
              <w:t xml:space="preserve">                                                                                                           </w:t>
            </w:r>
          </w:p>
          <w:p>
            <w:pPr>
              <w:spacing w:before="0" w:after="0" w:line="259" w:lineRule="auto"/>
              <w:ind w:left="-6" w:right="0" w:firstLine="0"/>
            </w:pPr>
            <w:r>
              <w:rPr>
                <w:rFonts w:cs="Times New Roman" w:hAnsi="Times New Roman" w:eastAsia="Times New Roman" w:ascii="Times New Roman"/>
                <w:sz w:val="11"/>
              </w:rPr>
              <w:t xml:space="preserve">                                                                                                           </w:t>
            </w:r>
          </w:p>
        </w:tc>
      </w:tr>
      <w:tr>
        <w:trPr>
          <w:trHeight w:val="1258"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Indicators</w:t>
            </w:r>
          </w:p>
        </w:tc>
        <w:tc>
          <w:tcPr>
            <w:tcW w:w="2355" w:type="dxa"/>
            <w:tcBorders>
              <w:top w:val="single" w:sz="4" w:color="000000"/>
              <w:left w:val="single" w:sz="4" w:color="000000"/>
              <w:bottom w:val="single" w:sz="4" w:color="000000"/>
              <w:right w:val="nil"/>
            </w:tcBorders>
            <w:shd w:val="clear" w:fill="c5d9f1"/>
            <w:vAlign w:val="top"/>
          </w:tcPr>
          <w:p>
            <w:pPr>
              <w:numPr>
                <w:ilvl w:val="0"/>
                <w:numId w:val="58"/>
              </w:numPr>
              <w:spacing w:before="0" w:after="0" w:line="259" w:lineRule="auto"/>
              <w:ind w:left="98" w:right="0" w:hanging="79"/>
              <w:jc w:val="left"/>
            </w:pPr>
            <w:r>
              <w:rPr>
                <w:rFonts w:cs="Times New Roman" w:hAnsi="Times New Roman" w:eastAsia="Times New Roman" w:ascii="Times New Roman"/>
                <w:sz w:val="11"/>
              </w:rPr>
              <w:t xml:space="preserve">a. New referendum law and Electoral laws;  1 b. Ne</w:t>
            </w:r>
          </w:p>
          <w:p>
            <w:pPr>
              <w:numPr>
                <w:ilvl w:val="0"/>
                <w:numId w:val="58"/>
              </w:numPr>
              <w:spacing w:before="0" w:after="0" w:line="259" w:lineRule="auto"/>
              <w:ind w:left="98" w:right="0" w:hanging="79"/>
              <w:jc w:val="left"/>
            </w:pPr>
            <w:r>
              <w:rPr>
                <w:rFonts w:cs="Times New Roman" w:hAnsi="Times New Roman" w:eastAsia="Times New Roman" w:ascii="Times New Roman"/>
                <w:sz w:val="11"/>
              </w:rPr>
              <w:t xml:space="preserve">a. No. of eligible voters captured on the NEC and ZE</w:t>
            </w:r>
          </w:p>
          <w:p>
            <w:pPr>
              <w:spacing w:before="0" w:after="0" w:line="259" w:lineRule="auto"/>
              <w:ind w:left="19" w:right="0" w:firstLine="0"/>
            </w:pPr>
            <w:r>
              <w:rPr>
                <w:rFonts w:cs="Times New Roman" w:hAnsi="Times New Roman" w:eastAsia="Times New Roman" w:ascii="Times New Roman"/>
                <w:sz w:val="11"/>
              </w:rPr>
              <w:t xml:space="preserve">2b. No. of complaints received from stakeholders regar</w:t>
            </w:r>
          </w:p>
          <w:p>
            <w:pPr>
              <w:spacing w:before="0" w:after="0" w:line="259" w:lineRule="auto"/>
              <w:ind w:left="19" w:right="0" w:firstLine="0"/>
            </w:pPr>
            <w:r>
              <w:rPr>
                <w:rFonts w:cs="Times New Roman" w:hAnsi="Times New Roman" w:eastAsia="Times New Roman" w:ascii="Times New Roman"/>
                <w:sz w:val="11"/>
              </w:rPr>
              <w:t xml:space="preserve">2 c. Electoral stakeholders´ and public acceptance of el</w:t>
            </w:r>
          </w:p>
          <w:p>
            <w:pPr>
              <w:spacing w:before="0" w:after="0" w:line="259" w:lineRule="auto"/>
              <w:ind w:left="19" w:right="0" w:firstLine="0"/>
              <w:jc w:val="left"/>
            </w:pPr>
            <w:r>
              <w:rPr>
                <w:rFonts w:cs="Times New Roman" w:hAnsi="Times New Roman" w:eastAsia="Times New Roman" w:ascii="Times New Roman"/>
                <w:sz w:val="11"/>
              </w:rPr>
              <w:t xml:space="preserve">3. Number of stakeholder grievances on EMBs perfor</w:t>
            </w:r>
          </w:p>
          <w:p>
            <w:pPr>
              <w:spacing w:before="0" w:after="0" w:line="245" w:lineRule="auto"/>
              <w:ind w:left="19" w:right="0" w:firstLine="0"/>
            </w:pPr>
            <w:r>
              <w:rPr>
                <w:rFonts w:cs="Times New Roman" w:hAnsi="Times New Roman" w:eastAsia="Times New Roman" w:ascii="Times New Roman"/>
                <w:sz w:val="11"/>
              </w:rPr>
              <w:t xml:space="preserve">a. Improved performance of EMBs according to stakeh 5 a. Increased stakeholder satisfaction with EMB perfo</w:t>
            </w:r>
          </w:p>
          <w:p>
            <w:pPr>
              <w:spacing w:before="0" w:after="0" w:line="259" w:lineRule="auto"/>
              <w:ind w:left="19" w:right="0" w:firstLine="0"/>
            </w:pPr>
            <w:r>
              <w:rPr>
                <w:rFonts w:cs="Times New Roman" w:hAnsi="Times New Roman" w:eastAsia="Times New Roman" w:ascii="Times New Roman"/>
                <w:sz w:val="11"/>
              </w:rPr>
              <w:t xml:space="preserve">Stakeholders perception of the way EMBs handle obse</w:t>
            </w:r>
          </w:p>
        </w:tc>
        <w:tc>
          <w:tcPr>
            <w:tcW w:w="1787" w:type="dxa"/>
            <w:tcBorders>
              <w:top w:val="single" w:sz="4" w:color="000000"/>
              <w:left w:val="nil"/>
              <w:bottom w:val="single" w:sz="4" w:color="000000"/>
              <w:right w:val="nil"/>
            </w:tcBorders>
            <w:shd w:val="clear" w:fill="c5d9f1"/>
            <w:vAlign w:val="top"/>
          </w:tcPr>
          <w:p>
            <w:pPr>
              <w:spacing w:before="0" w:after="0" w:line="259" w:lineRule="auto"/>
              <w:ind w:left="-65" w:right="0" w:firstLine="0"/>
              <w:jc w:val="left"/>
            </w:pPr>
            <w:r>
              <w:rPr>
                <w:rFonts w:cs="Times New Roman" w:hAnsi="Times New Roman" w:eastAsia="Times New Roman" w:ascii="Times New Roman"/>
                <w:sz w:val="11"/>
              </w:rPr>
              <w:t xml:space="preserve">w management policies and plans introduc</w:t>
            </w:r>
          </w:p>
          <w:p>
            <w:pPr>
              <w:spacing w:before="0" w:after="0" w:line="245" w:lineRule="auto"/>
              <w:ind w:left="-62" w:right="0" w:firstLine="56"/>
              <w:jc w:val="left"/>
            </w:pPr>
            <w:r>
              <w:rPr>
                <w:rFonts w:cs="Times New Roman" w:hAnsi="Times New Roman" w:eastAsia="Times New Roman" w:ascii="Times New Roman"/>
                <w:sz w:val="11"/>
              </w:rPr>
              <w:t xml:space="preserve">C voter lists;                                               ding quality/credibility of NEC and ZEC ection results.                                             mance recorded mainly on voter register an olders; 4 b. Less complaints and grievanc</w:t>
            </w:r>
          </w:p>
          <w:p>
            <w:pPr>
              <w:spacing w:before="0" w:after="0" w:line="259" w:lineRule="auto"/>
              <w:ind w:left="-18" w:right="0" w:firstLine="9"/>
              <w:jc w:val="left"/>
            </w:pPr>
            <w:r>
              <w:rPr>
                <w:rFonts w:cs="Times New Roman" w:hAnsi="Times New Roman" w:eastAsia="Times New Roman" w:ascii="Times New Roman"/>
                <w:sz w:val="11"/>
              </w:rPr>
              <w:t xml:space="preserve">rmance; 5 b.Decrease in number of spoile rvers and guarantee their access to the ele</w:t>
            </w:r>
          </w:p>
        </w:tc>
        <w:tc>
          <w:tcPr>
            <w:tcW w:w="1890" w:type="dxa"/>
            <w:tcBorders>
              <w:top w:val="single" w:sz="4" w:color="000000"/>
              <w:left w:val="nil"/>
              <w:bottom w:val="single" w:sz="4" w:color="000000"/>
              <w:right w:val="nil"/>
            </w:tcBorders>
            <w:shd w:val="clear" w:fill="c5d9f1"/>
            <w:vAlign w:val="top"/>
          </w:tcPr>
          <w:p>
            <w:pPr>
              <w:spacing w:before="0" w:after="0" w:line="259" w:lineRule="auto"/>
              <w:ind w:left="-45" w:right="0" w:firstLine="0"/>
              <w:jc w:val="left"/>
            </w:pPr>
            <w:r>
              <w:rPr>
                <w:rFonts w:cs="Times New Roman" w:hAnsi="Times New Roman" w:eastAsia="Times New Roman" w:ascii="Times New Roman"/>
                <w:sz w:val="11"/>
              </w:rPr>
              <w:t xml:space="preserve">ed to  EMBs. 1 c. Electoral stakeholders´ pos</w:t>
            </w:r>
          </w:p>
          <w:p>
            <w:pPr>
              <w:spacing w:before="0" w:after="0" w:line="245" w:lineRule="auto"/>
              <w:ind w:left="-30" w:right="22" w:firstLine="0"/>
              <w:jc w:val="right"/>
            </w:pPr>
            <w:r>
              <w:rPr>
                <w:rFonts w:cs="Times New Roman" w:hAnsi="Times New Roman" w:eastAsia="Times New Roman" w:ascii="Times New Roman"/>
                <w:sz w:val="11"/>
              </w:rPr>
              <w:t xml:space="preserve">                                                                       voter registers.                                                </w:t>
            </w:r>
          </w:p>
          <w:p>
            <w:pPr>
              <w:spacing w:before="0" w:after="0" w:line="259" w:lineRule="auto"/>
              <w:ind w:left="-45" w:right="0" w:firstLine="30"/>
              <w:jc w:val="left"/>
            </w:pPr>
            <w:r>
              <w:rPr>
                <w:rFonts w:cs="Times New Roman" w:hAnsi="Times New Roman" w:eastAsia="Times New Roman" w:ascii="Times New Roman"/>
                <w:sz w:val="11"/>
              </w:rPr>
              <w:t xml:space="preserve">                                                                        d election results;                                           es based on EMBs poor performance.            d ballot papers during polling.                        ctoral process.</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26" w:right="0" w:firstLine="0"/>
            </w:pPr>
            <w:r>
              <w:rPr>
                <w:rFonts w:cs="Times New Roman" w:hAnsi="Times New Roman" w:eastAsia="Times New Roman" w:ascii="Times New Roman"/>
                <w:sz w:val="11"/>
              </w:rPr>
              <w:t xml:space="preserve">itive perception regarding EMBs’ performance;                                </w:t>
            </w:r>
          </w:p>
          <w:p>
            <w:pPr>
              <w:spacing w:before="0" w:after="0" w:line="259" w:lineRule="auto"/>
              <w:ind w:left="-22" w:right="-4" w:firstLine="0"/>
            </w:pPr>
            <w:r>
              <w:rPr>
                <w:rFonts w:cs="Times New Roman" w:hAnsi="Times New Roman" w:eastAsia="Times New Roman" w:ascii="Times New Roman"/>
                <w:sz w:val="11"/>
              </w:rPr>
              <w:t xml:space="preserve">                                                                                                            </w:t>
            </w:r>
          </w:p>
          <w:p>
            <w:pPr>
              <w:spacing w:before="0" w:after="0" w:line="259" w:lineRule="auto"/>
              <w:ind w:left="-22" w:right="-4" w:firstLine="0"/>
            </w:pPr>
            <w:r>
              <w:rPr>
                <w:rFonts w:cs="Times New Roman" w:hAnsi="Times New Roman" w:eastAsia="Times New Roman" w:ascii="Times New Roman"/>
                <w:sz w:val="11"/>
              </w:rPr>
              <w:t xml:space="preserve">                                                                                                            </w:t>
            </w:r>
          </w:p>
          <w:p>
            <w:pPr>
              <w:spacing w:before="0" w:after="0" w:line="259" w:lineRule="auto"/>
              <w:ind w:left="-2" w:right="0" w:firstLine="0"/>
            </w:pPr>
            <w:r>
              <w:rPr>
                <w:rFonts w:cs="Times New Roman" w:hAnsi="Times New Roman" w:eastAsia="Times New Roman" w:ascii="Times New Roman"/>
                <w:sz w:val="11"/>
              </w:rPr>
              <w:t xml:space="preserve">                                                                                                           </w:t>
            </w:r>
          </w:p>
          <w:p>
            <w:pPr>
              <w:spacing w:before="0" w:after="0" w:line="259" w:lineRule="auto"/>
              <w:ind w:left="-17" w:right="0" w:firstLine="0"/>
            </w:pPr>
            <w:r>
              <w:rPr>
                <w:rFonts w:cs="Times New Roman" w:hAnsi="Times New Roman" w:eastAsia="Times New Roman" w:ascii="Times New Roman"/>
                <w:sz w:val="11"/>
              </w:rPr>
              <w:t xml:space="preserve">                                                                                                         4 </w:t>
            </w:r>
          </w:p>
          <w:p>
            <w:pPr>
              <w:spacing w:before="0" w:after="0" w:line="259" w:lineRule="auto"/>
              <w:ind w:left="-8" w:right="-8" w:hanging="9"/>
              <w:jc w:val="left"/>
            </w:pPr>
            <w:r>
              <w:rPr>
                <w:rFonts w:cs="Times New Roman" w:hAnsi="Times New Roman" w:eastAsia="Times New Roman" w:ascii="Times New Roman"/>
                <w:sz w:val="11"/>
              </w:rPr>
              <w:t xml:space="preserve">                                                                                                                                                                                                     6. </w:t>
            </w:r>
          </w:p>
        </w:tc>
      </w:tr>
      <w:tr>
        <w:trPr>
          <w:trHeight w:val="312"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Means of Verification</w:t>
            </w:r>
          </w:p>
        </w:tc>
        <w:tc>
          <w:tcPr>
            <w:tcW w:w="2355" w:type="dxa"/>
            <w:tcBorders>
              <w:top w:val="single" w:sz="4" w:color="000000"/>
              <w:left w:val="single" w:sz="4" w:color="000000"/>
              <w:bottom w:val="single" w:sz="4" w:color="000000"/>
              <w:right w:val="nil"/>
            </w:tcBorders>
            <w:shd w:val="clear" w:fill="c5d9f1"/>
            <w:vAlign w:val="top"/>
          </w:tcPr>
          <w:p>
            <w:pPr>
              <w:spacing w:before="0" w:after="0" w:line="259" w:lineRule="auto"/>
              <w:ind w:left="20" w:right="0" w:hanging="1"/>
              <w:jc w:val="left"/>
            </w:pPr>
            <w:r>
              <w:rPr>
                <w:rFonts w:cs="Times New Roman" w:hAnsi="Times New Roman" w:eastAsia="Times New Roman" w:ascii="Times New Roman"/>
                <w:sz w:val="11"/>
              </w:rPr>
              <w:t xml:space="preserve">Perception survey results. Public Surveys, Electoral sta reports; Program M&amp; E reports; Public Opinion surve</w:t>
            </w:r>
          </w:p>
        </w:tc>
        <w:tc>
          <w:tcPr>
            <w:tcW w:w="1787" w:type="dxa"/>
            <w:tcBorders>
              <w:top w:val="single" w:sz="4" w:color="000000"/>
              <w:left w:val="nil"/>
              <w:bottom w:val="single" w:sz="4" w:color="000000"/>
              <w:right w:val="nil"/>
            </w:tcBorders>
            <w:shd w:val="clear" w:fill="c5d9f1"/>
            <w:vAlign w:val="top"/>
          </w:tcPr>
          <w:p>
            <w:pPr>
              <w:spacing w:before="0" w:after="0" w:line="259" w:lineRule="auto"/>
              <w:ind w:left="-52" w:right="0" w:firstLine="49"/>
              <w:jc w:val="left"/>
            </w:pPr>
            <w:r>
              <w:rPr>
                <w:rFonts w:cs="Times New Roman" w:hAnsi="Times New Roman" w:eastAsia="Times New Roman" w:ascii="Times New Roman"/>
                <w:sz w:val="11"/>
              </w:rPr>
              <w:t xml:space="preserve">keholders and public acceptance of voter ys; Internal management appraisals; Offici</w:t>
            </w:r>
          </w:p>
        </w:tc>
        <w:tc>
          <w:tcPr>
            <w:tcW w:w="1890" w:type="dxa"/>
            <w:tcBorders>
              <w:top w:val="single" w:sz="4" w:color="000000"/>
              <w:left w:val="nil"/>
              <w:bottom w:val="single" w:sz="4" w:color="000000"/>
              <w:right w:val="nil"/>
            </w:tcBorders>
            <w:shd w:val="clear" w:fill="c5d9f1"/>
            <w:vAlign w:val="top"/>
          </w:tcPr>
          <w:p>
            <w:pPr>
              <w:spacing w:before="0" w:after="0" w:line="259" w:lineRule="auto"/>
              <w:ind w:left="-37" w:right="0" w:firstLine="4"/>
              <w:jc w:val="left"/>
            </w:pPr>
            <w:r>
              <w:rPr>
                <w:rFonts w:cs="Times New Roman" w:hAnsi="Times New Roman" w:eastAsia="Times New Roman" w:ascii="Times New Roman"/>
                <w:sz w:val="11"/>
              </w:rPr>
              <w:t xml:space="preserve">registers and election results; Electora; stake al EMB and other stakeholder reports; Media</w:t>
            </w:r>
          </w:p>
        </w:tc>
        <w:tc>
          <w:tcPr>
            <w:tcW w:w="2831" w:type="dxa"/>
            <w:tcBorders>
              <w:top w:val="single" w:sz="4" w:color="000000"/>
              <w:left w:val="nil"/>
              <w:bottom w:val="single" w:sz="4" w:color="000000"/>
              <w:right w:val="single" w:sz="4" w:color="000000"/>
            </w:tcBorders>
            <w:shd w:val="clear" w:fill="c5d9f1"/>
            <w:vAlign w:val="top"/>
          </w:tcPr>
          <w:p>
            <w:pPr>
              <w:spacing w:before="0" w:after="0" w:line="259" w:lineRule="auto"/>
              <w:ind w:left="-40" w:right="0" w:firstLine="0"/>
              <w:jc w:val="left"/>
            </w:pPr>
            <w:r>
              <w:rPr>
                <w:rFonts w:cs="Times New Roman" w:hAnsi="Times New Roman" w:eastAsia="Times New Roman" w:ascii="Times New Roman"/>
                <w:sz w:val="11"/>
              </w:rPr>
              <w:t xml:space="preserve">holders and public perception on EMB performance; Observers </w:t>
            </w:r>
          </w:p>
          <w:p>
            <w:pPr>
              <w:spacing w:before="0" w:after="0" w:line="259" w:lineRule="auto"/>
              <w:ind w:left="-12" w:right="0" w:firstLine="0"/>
              <w:jc w:val="left"/>
            </w:pPr>
            <w:r>
              <w:rPr>
                <w:rFonts w:cs="Times New Roman" w:hAnsi="Times New Roman" w:eastAsia="Times New Roman" w:ascii="Times New Roman"/>
                <w:sz w:val="11"/>
              </w:rPr>
              <w:t xml:space="preserve"> reports</w:t>
            </w:r>
          </w:p>
        </w:tc>
      </w:tr>
      <w:tr>
        <w:trPr>
          <w:trHeight w:val="173" w:hRule="atLeast"/>
        </w:trPr>
        <w:tc>
          <w:tcPr>
            <w:tcW w:w="2275" w:type="dxa"/>
            <w:tcBorders>
              <w:top w:val="single" w:sz="4" w:color="000000"/>
              <w:left w:val="single" w:sz="4" w:color="000000"/>
              <w:bottom w:val="single" w:sz="9" w:color="000000"/>
              <w:right w:val="single" w:sz="4" w:color="000000"/>
            </w:tcBorders>
            <w:shd w:val="clear" w:fill="dce6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Outputs</w:t>
            </w:r>
          </w:p>
        </w:tc>
        <w:tc>
          <w:tcPr>
            <w:tcW w:w="2355" w:type="dxa"/>
            <w:tcBorders>
              <w:top w:val="single" w:sz="4" w:color="000000"/>
              <w:left w:val="single" w:sz="4" w:color="000000"/>
              <w:bottom w:val="single" w:sz="9" w:color="000000"/>
              <w:right w:val="single" w:sz="4" w:color="000000"/>
            </w:tcBorders>
            <w:shd w:val="clear" w:fill="dce6f1"/>
            <w:vAlign w:val="top"/>
          </w:tcPr>
          <w:p>
            <w:pPr>
              <w:spacing w:before="0" w:after="0" w:line="259" w:lineRule="auto"/>
              <w:ind w:left="8" w:right="0" w:firstLine="0"/>
              <w:jc w:val="center"/>
            </w:pPr>
            <w:r>
              <w:rPr>
                <w:rFonts w:cs="Times New Roman" w:hAnsi="Times New Roman" w:eastAsia="Times New Roman" w:ascii="Times New Roman"/>
                <w:b w:val="1"/>
                <w:sz w:val="11"/>
              </w:rPr>
              <w:t xml:space="preserve">Targets</w:t>
            </w:r>
          </w:p>
        </w:tc>
        <w:tc>
          <w:tcPr>
            <w:tcW w:w="1787" w:type="dxa"/>
            <w:tcBorders>
              <w:top w:val="single" w:sz="4" w:color="000000"/>
              <w:left w:val="single" w:sz="4" w:color="000000"/>
              <w:bottom w:val="single" w:sz="9" w:color="000000"/>
              <w:right w:val="single" w:sz="4" w:color="000000"/>
            </w:tcBorders>
            <w:shd w:val="clear" w:fill="dce6f1"/>
            <w:vAlign w:val="top"/>
          </w:tcPr>
          <w:p>
            <w:pPr>
              <w:spacing w:before="0" w:after="0" w:line="259" w:lineRule="auto"/>
              <w:ind w:left="8" w:right="0" w:firstLine="0"/>
              <w:jc w:val="center"/>
            </w:pPr>
            <w:r>
              <w:rPr>
                <w:rFonts w:cs="Times New Roman" w:hAnsi="Times New Roman" w:eastAsia="Times New Roman" w:ascii="Times New Roman"/>
                <w:b w:val="1"/>
                <w:sz w:val="11"/>
              </w:rPr>
              <w:t xml:space="preserve">Indicators</w:t>
            </w:r>
          </w:p>
        </w:tc>
        <w:tc>
          <w:tcPr>
            <w:tcW w:w="1890" w:type="dxa"/>
            <w:tcBorders>
              <w:top w:val="single" w:sz="4" w:color="000000"/>
              <w:left w:val="single" w:sz="4" w:color="000000"/>
              <w:bottom w:val="single" w:sz="9" w:color="000000"/>
              <w:right w:val="single" w:sz="4" w:color="000000"/>
            </w:tcBorders>
            <w:shd w:val="clear" w:fill="dce6f1"/>
            <w:vAlign w:val="top"/>
          </w:tcPr>
          <w:p>
            <w:pPr>
              <w:spacing w:before="0" w:after="0" w:line="259" w:lineRule="auto"/>
              <w:ind w:left="19" w:right="0" w:firstLine="0"/>
              <w:jc w:val="left"/>
            </w:pPr>
            <w:r>
              <w:rPr>
                <w:rFonts w:cs="Times New Roman" w:hAnsi="Times New Roman" w:eastAsia="Times New Roman" w:ascii="Times New Roman"/>
                <w:b w:val="1"/>
                <w:sz w:val="11"/>
              </w:rPr>
              <w:t xml:space="preserve">Means of Verification</w:t>
            </w:r>
          </w:p>
        </w:tc>
        <w:tc>
          <w:tcPr>
            <w:tcW w:w="2831" w:type="dxa"/>
            <w:tcBorders>
              <w:top w:val="single" w:sz="4" w:color="000000"/>
              <w:left w:val="single" w:sz="4" w:color="000000"/>
              <w:bottom w:val="single" w:sz="9" w:color="000000"/>
              <w:right w:val="single" w:sz="4" w:color="000000"/>
            </w:tcBorders>
            <w:shd w:val="clear" w:fill="dce6f1"/>
            <w:vAlign w:val="top"/>
          </w:tcPr>
          <w:p>
            <w:pPr>
              <w:spacing w:before="0" w:after="0" w:line="259" w:lineRule="auto"/>
              <w:ind w:left="8" w:right="0" w:firstLine="0"/>
              <w:jc w:val="center"/>
            </w:pPr>
            <w:r>
              <w:rPr>
                <w:rFonts w:cs="Times New Roman" w:hAnsi="Times New Roman" w:eastAsia="Times New Roman" w:ascii="Times New Roman"/>
                <w:b w:val="1"/>
                <w:sz w:val="11"/>
              </w:rPr>
              <w:t xml:space="preserve">Activities</w:t>
            </w:r>
          </w:p>
        </w:tc>
      </w:tr>
      <w:tr>
        <w:trPr>
          <w:trHeight w:val="579" w:hRule="atLeast"/>
        </w:trPr>
        <w:tc>
          <w:tcPr>
            <w:tcW w:w="2275" w:type="dxa"/>
            <w:tcBorders>
              <w:top w:val="single" w:sz="9"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EMBs strategic planning and policy making capacities improved. </w:t>
            </w:r>
          </w:p>
        </w:tc>
        <w:tc>
          <w:tcPr>
            <w:tcW w:w="2355" w:type="dxa"/>
            <w:tcBorders>
              <w:top w:val="single" w:sz="9"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Year 1. Timely and substantive support to operational plan for NEC and ZEC implementation of the Referendum; Legal framework, and institutional planning. </w:t>
            </w:r>
          </w:p>
        </w:tc>
        <w:tc>
          <w:tcPr>
            <w:tcW w:w="1787" w:type="dxa"/>
            <w:tcBorders>
              <w:top w:val="single" w:sz="9"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Referendum law for UrTz reflects international standards.</w:t>
            </w:r>
          </w:p>
        </w:tc>
        <w:tc>
          <w:tcPr>
            <w:tcW w:w="1890" w:type="dxa"/>
            <w:tcBorders>
              <w:top w:val="single" w:sz="9" w:color="000000"/>
              <w:left w:val="single" w:sz="4" w:color="000000"/>
              <w:bottom w:val="single" w:sz="4" w:color="000000"/>
              <w:right w:val="single" w:sz="4" w:color="000000"/>
            </w:tcBorders>
            <w:shd w:val="clear" w:fill="d7e3bb"/>
            <w:vAlign w:val="top"/>
          </w:tcPr>
          <w:p>
            <w:pPr>
              <w:spacing w:before="0" w:after="0" w:line="259" w:lineRule="auto"/>
              <w:ind w:left="19" w:right="0" w:firstLine="0"/>
            </w:pPr>
            <w:r>
              <w:rPr>
                <w:rFonts w:cs="Times New Roman" w:hAnsi="Times New Roman" w:eastAsia="Times New Roman" w:ascii="Times New Roman"/>
                <w:sz w:val="11"/>
              </w:rPr>
              <w:t xml:space="preserve">Assessments by political and legal experts. </w:t>
            </w:r>
          </w:p>
        </w:tc>
        <w:tc>
          <w:tcPr>
            <w:tcW w:w="2831" w:type="dxa"/>
            <w:tcBorders>
              <w:top w:val="single" w:sz="9"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Strategic and operational Planning for NEC and ZEC.</w:t>
            </w:r>
          </w:p>
        </w:tc>
      </w:tr>
      <w:tr>
        <w:trPr>
          <w:trHeight w:val="253" w:hRule="atLeast"/>
        </w:trPr>
        <w:tc>
          <w:tcPr>
            <w:tcW w:w="2275" w:type="dxa"/>
            <w:tcBorders>
              <w:top w:val="single" w:sz="4" w:color="000000"/>
              <w:left w:val="single" w:sz="4" w:color="000000"/>
              <w:bottom w:val="single" w:sz="4" w:color="000000"/>
              <w:right w:val="single" w:sz="4" w:color="000000"/>
            </w:tcBorders>
            <w:vAlign w:val="bottom"/>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2. EMBs develop comprehensive Strategic Plans in line with legal framework. </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AWPs clearly linked to new EMB strategic plans.</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20" w:right="0" w:hanging="1"/>
              <w:jc w:val="left"/>
            </w:pPr>
            <w:r>
              <w:rPr>
                <w:rFonts w:cs="Times New Roman" w:hAnsi="Times New Roman" w:eastAsia="Times New Roman" w:ascii="Times New Roman"/>
                <w:sz w:val="11"/>
              </w:rPr>
              <w:t xml:space="preserve">Review of AWP by project technical committee.</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6" w:firstLine="1"/>
              <w:jc w:val="left"/>
            </w:pPr>
            <w:r>
              <w:rPr>
                <w:rFonts w:cs="Times New Roman" w:hAnsi="Times New Roman" w:eastAsia="Times New Roman" w:ascii="Times New Roman"/>
                <w:sz w:val="11"/>
              </w:rPr>
              <w:t xml:space="preserve">Development and implementation of inclusive business processes.</w:t>
            </w:r>
          </w:p>
        </w:tc>
      </w:tr>
      <w:tr>
        <w:trPr>
          <w:trHeight w:val="660" w:hRule="atLeast"/>
        </w:trPr>
        <w:tc>
          <w:tcPr>
            <w:tcW w:w="2275" w:type="dxa"/>
            <w:tcBorders>
              <w:top w:val="single" w:sz="4" w:color="000000"/>
              <w:left w:val="single" w:sz="4" w:color="000000"/>
              <w:bottom w:val="single" w:sz="4" w:color="000000"/>
              <w:right w:val="single" w:sz="4" w:color="000000"/>
            </w:tcBorders>
            <w:vAlign w:val="bottom"/>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Year 3. Comprehensive training plans for EMBs developed and implemented.</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Capacity Building plans with clear results including tracers indicators are in place and under implementation.</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Syllabi on various aspects of management and substantive subjects.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Capacity mapping of NEC and ZEC.</w:t>
            </w:r>
          </w:p>
        </w:tc>
      </w:tr>
      <w:tr>
        <w:trPr>
          <w:trHeight w:val="604" w:hRule="atLeast"/>
        </w:trPr>
        <w:tc>
          <w:tcPr>
            <w:tcW w:w="2275" w:type="dxa"/>
            <w:tcBorders>
              <w:top w:val="single" w:sz="4" w:color="000000"/>
              <w:left w:val="single" w:sz="4" w:color="000000"/>
              <w:bottom w:val="single" w:sz="4" w:color="000000"/>
              <w:right w:val="single" w:sz="4" w:color="000000"/>
            </w:tcBorders>
            <w:vAlign w:val="bottom"/>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NEC Institutional framework takes into account appropriate recommendations from technical and the feasibility study.</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9" w:right="0" w:firstLine="0"/>
              <w:jc w:val="left"/>
            </w:pPr>
            <w:r>
              <w:rPr>
                <w:rFonts w:cs="Times New Roman" w:hAnsi="Times New Roman" w:eastAsia="Times New Roman" w:ascii="Times New Roman"/>
                <w:sz w:val="11"/>
              </w:rPr>
              <w:t xml:space="preserve">NEC Strategic Plan</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Decentralisation feasibility study for NEC.</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bottom"/>
          </w:tcPr>
          <w:p>
            <w:pPr>
              <w:bidi w:val="0"/>
              <w:spacing w:before="0" w:after="160" w:line="259" w:lineRule="auto"/>
              <w:ind w:left="0" w:right="0" w:firstLine="0"/>
              <w:jc w:val="left"/>
            </w:pP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Performance monitoring system in place and utilised for electoral events.</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Surveys conducted by EMBs both internally and among stakeholders. </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Develop performance monitoring system for NEC.</w:t>
            </w:r>
          </w:p>
        </w:tc>
      </w:tr>
      <w:tr>
        <w:trPr>
          <w:trHeight w:val="509"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EMB capacity to use ICT enhanced</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Year 1. BVR adoption assessment completed and results shared with NEC and key stakeholders.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Decision on BVR implementation takes into account expert reccomendations.</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Official pronouncements and communications on the BVR implementation approach adopted by NEC.</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Advisory services for introduction of bio-metric voters registration (BVR).</w:t>
            </w:r>
          </w:p>
        </w:tc>
      </w:tr>
      <w:tr>
        <w:trPr>
          <w:trHeight w:val="381" w:hRule="atLeast"/>
        </w:trPr>
        <w:tc>
          <w:tcPr>
            <w:tcW w:w="2275" w:type="dxa"/>
            <w:tcBorders>
              <w:top w:val="single" w:sz="4" w:color="000000"/>
              <w:left w:val="nil"/>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1. ICT management strategy developed for </w:t>
            </w:r>
          </w:p>
          <w:p>
            <w:pPr>
              <w:spacing w:before="0" w:after="0" w:line="259" w:lineRule="auto"/>
              <w:ind w:left="21" w:right="0" w:firstLine="0"/>
              <w:jc w:val="left"/>
            </w:pPr>
            <w:r>
              <w:rPr>
                <w:rFonts w:cs="Times New Roman" w:hAnsi="Times New Roman" w:eastAsia="Times New Roman" w:ascii="Times New Roman"/>
                <w:sz w:val="11"/>
              </w:rPr>
              <w:t xml:space="preserve">EMBs.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ICT management framework developed and utilised by EMBs</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ICT use more prominent in EMB mangement and operations. EMB internet pages updated.</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Support EMBs to improve their ICT management capacity.</w:t>
            </w:r>
          </w:p>
        </w:tc>
      </w:tr>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Year 2. Voters Registers of NEC and ZEC undergo systems and data audit.</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Audit report shared and discussed by key stakeholders.</w:t>
            </w:r>
          </w:p>
        </w:tc>
        <w:tc>
          <w:tcPr>
            <w:tcW w:w="1890" w:type="dxa"/>
            <w:tcBorders>
              <w:top w:val="single" w:sz="4" w:color="000000"/>
              <w:left w:val="single" w:sz="4" w:color="000000"/>
              <w:bottom w:val="single" w:sz="4" w:color="000000"/>
              <w:right w:val="single" w:sz="4" w:color="000000"/>
            </w:tcBorders>
            <w:shd w:val="clear" w:fill="00afef"/>
            <w:vAlign w:val="center"/>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Audit of the Voters Registers</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EMBs capacity improved to conduct credible electoral processes.</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Year 1. Technical and on the job training carried out in advance of the Constittional Referendum.</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Voters register updated and purged of noneligible voters. </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Voters rolls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pPr>
            <w:r>
              <w:rPr>
                <w:rFonts w:cs="Times New Roman" w:hAnsi="Times New Roman" w:eastAsia="Times New Roman" w:ascii="Times New Roman"/>
                <w:sz w:val="11"/>
              </w:rPr>
              <w:t xml:space="preserve">Support voter registration and de-duplication of the voter register.</w:t>
            </w:r>
          </w:p>
        </w:tc>
      </w:tr>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2. </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Referendum conducted in line with National Legislation.</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Referendum results announced in prescribed time.</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Facilitate conduct of Constitutional Referendum.</w:t>
            </w:r>
          </w:p>
        </w:tc>
      </w:tr>
      <w:tr>
        <w:trPr>
          <w:trHeight w:val="125"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3.</w:t>
            </w:r>
          </w:p>
        </w:tc>
        <w:tc>
          <w:tcPr>
            <w:tcW w:w="1787"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EMBs staff professional development enhanced.</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Year 1. Professional courses developed and under implementation for EMB staff.</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BRIDGE and other professional courses undertaken by EMB staff.</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EMB staff prepare general elections professionally.</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Develop EMBs capacity for cascade training using BRIDGE.</w:t>
            </w:r>
          </w:p>
        </w:tc>
      </w:tr>
      <w:tr>
        <w:trPr>
          <w:trHeight w:val="253" w:hRule="atLeast"/>
        </w:trPr>
        <w:tc>
          <w:tcPr>
            <w:tcW w:w="2275" w:type="dxa"/>
            <w:tcBorders>
              <w:top w:val="single" w:sz="4" w:color="000000"/>
              <w:left w:val="nil"/>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2. </w:t>
            </w:r>
          </w:p>
        </w:tc>
        <w:tc>
          <w:tcPr>
            <w:tcW w:w="1787"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pPr>
            <w:r>
              <w:rPr>
                <w:rFonts w:cs="Times New Roman" w:hAnsi="Times New Roman" w:eastAsia="Times New Roman" w:ascii="Times New Roman"/>
                <w:sz w:val="11"/>
              </w:rPr>
              <w:t xml:space="preserve">Train a critical mass of EMBs officials on election administration.</w:t>
            </w:r>
          </w:p>
        </w:tc>
      </w:tr>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Year 3. </w:t>
            </w:r>
          </w:p>
        </w:tc>
        <w:tc>
          <w:tcPr>
            <w:tcW w:w="1787"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Support study and technical exchange between the two EMBs and beyond.</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Delivery of Civic and Voters education and information improved and extended to hard to reach citizens.</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Year 1. Voters Education framework and syllubus reviewed and updated to reflect the legal framework in place and use of ICT based VE options.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1. Voters turn out to vote on the constitutional referendum; </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Observer and media reports .</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Review, design and implementation of voter education by EMB's, CSO's and Media. </w:t>
            </w:r>
          </w:p>
        </w:tc>
      </w:tr>
      <w:tr>
        <w:trPr>
          <w:trHeight w:val="381"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Year 2. Voters Education Grants made available through NEC and ZEC.</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hanging="0"/>
              <w:jc w:val="left"/>
            </w:pPr>
            <w:r>
              <w:rPr>
                <w:rFonts w:cs="Times New Roman" w:hAnsi="Times New Roman" w:eastAsia="Times New Roman" w:ascii="Times New Roman"/>
                <w:sz w:val="11"/>
              </w:rPr>
              <w:t xml:space="preserve">2. Visible voters education using various media and other means begins in good time for electoral events.</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9" w:right="0" w:firstLine="0"/>
              <w:jc w:val="left"/>
            </w:pPr>
            <w:r>
              <w:rPr>
                <w:rFonts w:cs="Times New Roman" w:hAnsi="Times New Roman" w:eastAsia="Times New Roman" w:ascii="Times New Roman"/>
                <w:sz w:val="11"/>
              </w:rPr>
              <w:t xml:space="preserve">Monitoing Reports .</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8" w:right="0" w:firstLine="1"/>
              <w:jc w:val="left"/>
            </w:pPr>
            <w:r>
              <w:rPr>
                <w:rFonts w:cs="Times New Roman" w:hAnsi="Times New Roman" w:eastAsia="Times New Roman" w:ascii="Times New Roman"/>
                <w:sz w:val="11"/>
              </w:rPr>
              <w:t xml:space="preserve">Undertake surveys to assess public understanding of democratic values.</w:t>
            </w:r>
          </w:p>
        </w:tc>
      </w:tr>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Year 3. Report on Grant facility published and disseminated including electronically.</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GFR. Available on UNDP website.</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20" w:right="0" w:firstLine="0"/>
              <w:jc w:val="left"/>
            </w:pPr>
            <w:r>
              <w:rPr>
                <w:rFonts w:cs="Times New Roman" w:hAnsi="Times New Roman" w:eastAsia="Times New Roman" w:ascii="Times New Roman"/>
                <w:sz w:val="11"/>
              </w:rPr>
              <w:t xml:space="preserve">Periodic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1"/>
              <w:jc w:val="left"/>
            </w:pPr>
            <w:r>
              <w:rPr>
                <w:rFonts w:cs="Times New Roman" w:hAnsi="Times New Roman" w:eastAsia="Times New Roman" w:ascii="Times New Roman"/>
                <w:sz w:val="11"/>
              </w:rPr>
              <w:t xml:space="preserve">Support NEC and ZEC in the establishment of small and medium grants schemes,</w:t>
            </w:r>
          </w:p>
        </w:tc>
      </w:tr>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0" w:right="0" w:hanging="1"/>
              <w:jc w:val="left"/>
            </w:pPr>
            <w:r>
              <w:rPr>
                <w:rFonts w:cs="Times New Roman" w:hAnsi="Times New Roman" w:eastAsia="Times New Roman" w:ascii="Times New Roman"/>
                <w:sz w:val="11"/>
              </w:rPr>
              <w:t xml:space="preserve">Year 1. UNESCO Community Radio Project extended through MoU with UNDP.</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Project results are reached by 80%</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20" w:right="0" w:firstLine="0"/>
              <w:jc w:val="left"/>
            </w:pPr>
            <w:r>
              <w:rPr>
                <w:rFonts w:cs="Times New Roman" w:hAnsi="Times New Roman" w:eastAsia="Times New Roman" w:ascii="Times New Roman"/>
                <w:sz w:val="11"/>
              </w:rPr>
              <w:t xml:space="preserve">Monitoring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9" w:right="0" w:firstLine="0"/>
              <w:jc w:val="left"/>
            </w:pPr>
            <w:r>
              <w:rPr>
                <w:rFonts w:cs="Times New Roman" w:hAnsi="Times New Roman" w:eastAsia="Times New Roman" w:ascii="Times New Roman"/>
                <w:sz w:val="11"/>
              </w:rPr>
              <w:t xml:space="preserve">Support Community media.</w:t>
            </w:r>
          </w:p>
        </w:tc>
      </w:tr>
    </w:tbl>
    <w:p>
      <w:pPr>
        <w:spacing w:before="0" w:after="253" w:line="259" w:lineRule="auto"/>
        <w:ind w:left="0" w:right="3982" w:firstLine="0"/>
        <w:jc w:val="center"/>
      </w:pPr>
      <w:r>
        <w:rPr>
          <w:rFonts w:cs="Arial" w:hAnsi="Arial" w:eastAsia="Arial" w:ascii="Arial"/>
          <w:sz w:val="12"/>
        </w:rPr>
        <w:t xml:space="preserve">DEMOCRATIC EMPOWERMENT PROJECT (DEP) RESULTS FRAMEWORK</w:t>
      </w:r>
    </w:p>
    <w:tbl>
      <w:tblPr>
        <w:tblStyle w:val="TableGrid"/>
        <w:tblW w:w="11139" w:type="dxa"/>
        <w:tblInd w:w="-4232" w:type="dxa"/>
        <w:tblCellMar>
          <w:top w:w="3" w:type="dxa"/>
          <w:left w:w="18" w:type="dxa"/>
          <w:bottom w:w="0" w:type="dxa"/>
          <w:right w:w="0" w:type="dxa"/>
        </w:tblCellMar>
      </w:tblPr>
      <w:tblGrid>
        <w:gridCol w:w="2275"/>
        <w:gridCol w:w="2355"/>
        <w:gridCol w:w="1787"/>
        <w:gridCol w:w="1890"/>
        <w:gridCol w:w="2831"/>
      </w:tblGrid>
      <w:tr>
        <w:trPr>
          <w:trHeight w:val="253" w:hRule="atLeast"/>
        </w:trPr>
        <w:tc>
          <w:tcPr>
            <w:tcW w:w="2275" w:type="dxa"/>
            <w:tcBorders>
              <w:top w:val="single" w:sz="4" w:color="000000"/>
              <w:left w:val="single" w:sz="4" w:color="000000"/>
              <w:bottom w:val="single" w:sz="4" w:color="000000"/>
              <w:right w:val="single" w:sz="4" w:color="000000"/>
            </w:tcBorders>
            <w:vAlign w:val="center"/>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1"/>
              <w:jc w:val="left"/>
            </w:pPr>
            <w:r>
              <w:rPr>
                <w:rFonts w:cs="Times New Roman" w:hAnsi="Times New Roman" w:eastAsia="Times New Roman" w:ascii="Times New Roman"/>
                <w:sz w:val="11"/>
              </w:rPr>
              <w:t xml:space="preserve">Year 2. Community radios provide relevant voters education through agreement with EMBs.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Project results are reached by 80%</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 w:right="0" w:firstLine="0"/>
              <w:jc w:val="left"/>
            </w:pPr>
            <w:r>
              <w:rPr>
                <w:rFonts w:cs="Times New Roman" w:hAnsi="Times New Roman" w:eastAsia="Times New Roman" w:ascii="Times New Roman"/>
                <w:sz w:val="11"/>
              </w:rPr>
              <w:t xml:space="preserve">Monitoring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Support creation of infrastructure for social media utilization in elections.</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Mechanism for election observer access to electoral process improved.</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Year 1. Observer Resource Center for Constitutional Referendum set up and operational.</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1. Observers receive information and protocols from EMBs, 2. Observer accreditation.</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 w:right="0" w:firstLine="0"/>
              <w:jc w:val="left"/>
            </w:pPr>
            <w:r>
              <w:rPr>
                <w:rFonts w:cs="Times New Roman" w:hAnsi="Times New Roman" w:eastAsia="Times New Roman" w:ascii="Times New Roman"/>
                <w:sz w:val="11"/>
              </w:rPr>
              <w:t xml:space="preserve">Observer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Support the EMBs to develop observer engagement strategies</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 w:right="8" w:hanging="1"/>
              <w:jc w:val="left"/>
            </w:pPr>
            <w:r>
              <w:rPr>
                <w:rFonts w:cs="Times New Roman" w:hAnsi="Times New Roman" w:eastAsia="Times New Roman" w:ascii="Times New Roman"/>
                <w:sz w:val="11"/>
              </w:rPr>
              <w:t xml:space="preserve">Year 2. EMB reporting framework upgraded to include analysis of inclusion and participation pattern especially among vulnerable groups.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EMB annual reports have analysis on pertinent considerations of the Electoral Cycle.</w:t>
            </w: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Periodic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Promote public awareness on gender equality and women's empowerment.</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Year 3. 2015 Election reports by EMBs provide an analysis of the effect of the legal framework on participation.</w:t>
            </w: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Observer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Assess the impact of the constitutional/legal framework for elections on participation.</w:t>
            </w:r>
          </w:p>
        </w:tc>
      </w:tr>
      <w:tr>
        <w:trPr>
          <w:trHeight w:val="173" w:hRule="atLeast"/>
        </w:trPr>
        <w:tc>
          <w:tcPr>
            <w:tcW w:w="6417" w:type="dxa"/>
            <w:gridSpan w:val="3"/>
            <w:tcBorders>
              <w:top w:val="single" w:sz="4" w:color="000000"/>
              <w:left w:val="nil"/>
              <w:bottom w:val="single" w:sz="4" w:color="000000"/>
              <w:right w:val="single" w:sz="4" w:color="000000"/>
            </w:tcBorders>
            <w:shd w:val="clear" w:fill="8db4e1"/>
            <w:vAlign w:val="top"/>
          </w:tcPr>
          <w:p>
            <w:pPr>
              <w:spacing w:before="0" w:after="0" w:line="259" w:lineRule="auto"/>
              <w:ind w:left="1" w:right="0" w:firstLine="0"/>
              <w:jc w:val="left"/>
            </w:pPr>
            <w:r>
              <w:rPr>
                <w:rFonts w:cs="Times New Roman" w:hAnsi="Times New Roman" w:eastAsia="Times New Roman" w:ascii="Times New Roman"/>
                <w:b w:val="1"/>
                <w:color w:val="ffffff"/>
                <w:sz w:val="11"/>
              </w:rPr>
              <w:t xml:space="preserve">COMPONENT 3: SUPPORT INCLUSIVE PARTICIPATION IN POLITICAL AND ELECTORAL PROCESSES</w:t>
            </w:r>
          </w:p>
        </w:tc>
        <w:tc>
          <w:tcPr>
            <w:tcW w:w="1890" w:type="dxa"/>
            <w:tcBorders>
              <w:top w:val="single" w:sz="4" w:color="000000"/>
              <w:left w:val="single" w:sz="4" w:color="000000"/>
              <w:bottom w:val="single" w:sz="4" w:color="000000"/>
              <w:right w:val="single" w:sz="4" w:color="000000"/>
            </w:tcBorders>
            <w:shd w:val="clear" w:fill="8db4e1"/>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shd w:val="clear" w:fill="8db4e1"/>
            <w:vAlign w:val="top"/>
          </w:tcPr>
          <w:p>
            <w:pPr>
              <w:bidi w:val="0"/>
              <w:spacing w:before="0" w:after="160" w:line="259" w:lineRule="auto"/>
              <w:ind w:left="0" w:right="0" w:firstLine="0"/>
              <w:jc w:val="left"/>
            </w:pPr>
          </w:p>
        </w:tc>
      </w:tr>
      <w:tr>
        <w:trPr>
          <w:trHeight w:val="284"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Outcome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0" w:right="3" w:firstLine="1"/>
              <w:jc w:val="left"/>
            </w:pPr>
            <w:r>
              <w:rPr>
                <w:rFonts w:cs="Times New Roman" w:hAnsi="Times New Roman" w:eastAsia="Times New Roman" w:ascii="Times New Roman"/>
                <w:sz w:val="11"/>
              </w:rPr>
              <w:t xml:space="preserve">3.Factors that mitigate inclusive participation by women, youth and people with disabilities are reduced and sustainable processes to empower and build capacities for their effective participation in politics and elections -- i.e. as candidates, voters, and election officials -- are developed.</w:t>
            </w:r>
          </w:p>
        </w:tc>
      </w:tr>
      <w:tr>
        <w:trPr>
          <w:trHeight w:val="173"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Project Output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Inclusive participation in political and electoral processes enhanced</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Baseline</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The diversity of the Nation is not sufficiently reflected in the political leadership at all levels.</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Targets</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Increased capacity by women and other groups to engage and participate in electoral processes as candidates, voters and election officials.</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Indicators</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Number of women who participate in elections as candidates, voters and election officials.</w:t>
            </w:r>
          </w:p>
        </w:tc>
      </w:tr>
      <w:tr>
        <w:trPr>
          <w:trHeight w:val="432" w:hRule="atLeast"/>
        </w:trPr>
        <w:tc>
          <w:tcPr>
            <w:tcW w:w="2275" w:type="dxa"/>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Means of Verification</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45" w:lineRule="auto"/>
              <w:ind w:left="0" w:right="0" w:firstLine="1"/>
              <w:jc w:val="left"/>
            </w:pPr>
            <w:r>
              <w:rPr>
                <w:rFonts w:cs="Times New Roman" w:hAnsi="Times New Roman" w:eastAsia="Times New Roman" w:ascii="Times New Roman"/>
                <w:sz w:val="11"/>
              </w:rPr>
              <w:t xml:space="preserve">1. Election results and observer reports;                                                                                                                                                                                                                                                                               2. Public surveys and assessments including government and EMB reports;                                                                                                                                                                                                                       </w:t>
            </w:r>
          </w:p>
          <w:p>
            <w:pPr>
              <w:spacing w:before="0" w:after="0" w:line="259" w:lineRule="auto"/>
              <w:ind w:left="0" w:right="0" w:firstLine="0"/>
              <w:jc w:val="left"/>
            </w:pPr>
            <w:r>
              <w:rPr>
                <w:rFonts w:cs="Times New Roman" w:hAnsi="Times New Roman" w:eastAsia="Times New Roman" w:ascii="Times New Roman"/>
                <w:sz w:val="11"/>
              </w:rPr>
              <w:t xml:space="preserve">3. Media reports.</w:t>
            </w:r>
          </w:p>
        </w:tc>
      </w:tr>
      <w:tr>
        <w:trPr>
          <w:trHeight w:val="173" w:hRule="atLeast"/>
        </w:trPr>
        <w:tc>
          <w:tcPr>
            <w:tcW w:w="2275"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13" w:firstLine="0"/>
              <w:jc w:val="center"/>
            </w:pPr>
            <w:r>
              <w:rPr>
                <w:rFonts w:cs="Times New Roman" w:hAnsi="Times New Roman" w:eastAsia="Times New Roman" w:ascii="Times New Roman"/>
                <w:b w:val="1"/>
                <w:sz w:val="11"/>
              </w:rPr>
              <w:t xml:space="preserve">Outputs</w:t>
            </w:r>
          </w:p>
        </w:tc>
        <w:tc>
          <w:tcPr>
            <w:tcW w:w="2355"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Targets</w:t>
            </w:r>
          </w:p>
        </w:tc>
        <w:tc>
          <w:tcPr>
            <w:tcW w:w="1787"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Indicators</w:t>
            </w:r>
          </w:p>
        </w:tc>
        <w:tc>
          <w:tcPr>
            <w:tcW w:w="1890"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9" w:firstLine="0"/>
              <w:jc w:val="center"/>
            </w:pPr>
            <w:r>
              <w:rPr>
                <w:rFonts w:cs="Times New Roman" w:hAnsi="Times New Roman" w:eastAsia="Times New Roman" w:ascii="Times New Roman"/>
                <w:b w:val="1"/>
                <w:sz w:val="11"/>
              </w:rPr>
              <w:t xml:space="preserve">Means of Verification</w:t>
            </w:r>
          </w:p>
        </w:tc>
        <w:tc>
          <w:tcPr>
            <w:tcW w:w="2831"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Activities</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 w:right="0" w:hanging="0"/>
              <w:jc w:val="left"/>
            </w:pPr>
            <w:r>
              <w:rPr>
                <w:rFonts w:cs="Times New Roman" w:hAnsi="Times New Roman" w:eastAsia="Times New Roman" w:ascii="Times New Roman"/>
                <w:sz w:val="11"/>
              </w:rPr>
              <w:t xml:space="preserve">Inclusive participation in political and electoral processes enhanced</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 w:right="0" w:hanging="0"/>
              <w:jc w:val="left"/>
            </w:pPr>
            <w:r>
              <w:rPr>
                <w:rFonts w:cs="Times New Roman" w:hAnsi="Times New Roman" w:eastAsia="Times New Roman" w:ascii="Times New Roman"/>
                <w:sz w:val="11"/>
              </w:rPr>
              <w:t xml:space="preserve">Year 1. Political parties introduce inclusiveness as a principle for peacful elections.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Women and Youth candidates hopefuls increase from 2010  electoral cycle.</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 w:right="0" w:firstLine="0"/>
              <w:jc w:val="left"/>
            </w:pPr>
            <w:r>
              <w:rPr>
                <w:rFonts w:cs="Times New Roman" w:hAnsi="Times New Roman" w:eastAsia="Times New Roman" w:ascii="Times New Roman"/>
                <w:sz w:val="11"/>
              </w:rPr>
              <w:t xml:space="preserve">Comparative analysis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Support skills and capacity devt. For women, youth and PWDs as candidates.</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Year 2. Women in politics campaign undertaken by key stakeholders.</w:t>
            </w:r>
          </w:p>
        </w:tc>
        <w:tc>
          <w:tcPr>
            <w:tcW w:w="1787"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1"/>
              <w:jc w:val="left"/>
            </w:pPr>
            <w:r>
              <w:rPr>
                <w:rFonts w:cs="Times New Roman" w:hAnsi="Times New Roman" w:eastAsia="Times New Roman" w:ascii="Times New Roman"/>
                <w:sz w:val="11"/>
              </w:rPr>
              <w:t xml:space="preserve">Party members vote in more women and young candidates.</w:t>
            </w:r>
          </w:p>
        </w:tc>
        <w:tc>
          <w:tcPr>
            <w:tcW w:w="1890" w:type="dxa"/>
            <w:tcBorders>
              <w:top w:val="single" w:sz="4" w:color="000000"/>
              <w:left w:val="single" w:sz="4" w:color="000000"/>
              <w:bottom w:val="single" w:sz="4" w:color="000000"/>
              <w:right w:val="single" w:sz="4" w:color="000000"/>
            </w:tcBorders>
            <w:shd w:val="clear" w:fill="d7e3bb"/>
            <w:vAlign w:val="top"/>
          </w:tcPr>
          <w:p>
            <w:pPr>
              <w:spacing w:before="0" w:after="0" w:line="259" w:lineRule="auto"/>
              <w:ind w:left="1" w:right="0" w:firstLine="0"/>
              <w:jc w:val="left"/>
            </w:pPr>
            <w:r>
              <w:rPr>
                <w:rFonts w:cs="Times New Roman" w:hAnsi="Times New Roman" w:eastAsia="Times New Roman" w:ascii="Times New Roman"/>
                <w:sz w:val="11"/>
              </w:rPr>
              <w:t xml:space="preserve">Comparative analysis reports.</w:t>
            </w: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Promote public awareness on gender equality and women's empowerment.</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Year 3. Voter turn out reflects the diversity of the Tanzanian Nation.  </w:t>
            </w: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Assess the impact of the constitutional/legal framework for elections on participation.</w:t>
            </w:r>
          </w:p>
        </w:tc>
      </w:tr>
      <w:tr>
        <w:trPr>
          <w:trHeight w:val="173" w:hRule="atLeast"/>
        </w:trPr>
        <w:tc>
          <w:tcPr>
            <w:tcW w:w="8307" w:type="dxa"/>
            <w:gridSpan w:val="4"/>
            <w:tcBorders>
              <w:top w:val="single" w:sz="4" w:color="000000"/>
              <w:left w:val="nil"/>
              <w:bottom w:val="single" w:sz="4" w:color="000000"/>
              <w:right w:val="single" w:sz="4" w:color="000000"/>
            </w:tcBorders>
            <w:shd w:val="clear" w:fill="8db4e1"/>
            <w:vAlign w:val="top"/>
          </w:tcPr>
          <w:p>
            <w:pPr>
              <w:spacing w:before="0" w:after="0" w:line="259" w:lineRule="auto"/>
              <w:ind w:left="1" w:right="0" w:firstLine="0"/>
              <w:jc w:val="left"/>
            </w:pPr>
            <w:r>
              <w:rPr>
                <w:rFonts w:cs="Times New Roman" w:hAnsi="Times New Roman" w:eastAsia="Times New Roman" w:ascii="Times New Roman"/>
                <w:b w:val="1"/>
                <w:color w:val="ffffff"/>
                <w:sz w:val="11"/>
              </w:rPr>
              <w:t xml:space="preserve">COMPONENT 4: SUPPORT NATIONAL PEACE INFRUSTRUCTURE TO MITIGATE AND RESOLVE ELECTION RELATED CONFLICTS</w:t>
            </w:r>
          </w:p>
        </w:tc>
        <w:tc>
          <w:tcPr>
            <w:tcW w:w="2831" w:type="dxa"/>
            <w:tcBorders>
              <w:top w:val="single" w:sz="4" w:color="000000"/>
              <w:left w:val="single" w:sz="4" w:color="000000"/>
              <w:bottom w:val="single" w:sz="4" w:color="000000"/>
              <w:right w:val="single" w:sz="4" w:color="000000"/>
            </w:tcBorders>
            <w:shd w:val="clear" w:fill="8db4e1"/>
            <w:vAlign w:val="top"/>
          </w:tcPr>
          <w:p>
            <w:pPr>
              <w:bidi w:val="0"/>
              <w:spacing w:before="0" w:after="160" w:line="259" w:lineRule="auto"/>
              <w:ind w:left="0" w:right="0" w:firstLine="0"/>
              <w:jc w:val="left"/>
            </w:pPr>
          </w:p>
        </w:tc>
      </w:tr>
      <w:tr>
        <w:trPr>
          <w:trHeight w:val="264"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Outcome :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2" w:right="0" w:hanging="1"/>
              <w:jc w:val="left"/>
            </w:pPr>
            <w:r>
              <w:rPr>
                <w:rFonts w:cs="Times New Roman" w:hAnsi="Times New Roman" w:eastAsia="Times New Roman" w:ascii="Times New Roman"/>
                <w:sz w:val="11"/>
              </w:rPr>
              <w:t xml:space="preserve">4.  Tanzania's national peace architecture -- which entails cooperation and synergy between the various formal institutions such as the Police, the EMBs, and Political Parties, LGA’s and Civil Society, to prevent and manage conflict before it escalates -- provides an effective structure for the prevention, mitigation and resolution of political/electoral conflict.</w:t>
            </w:r>
          </w:p>
        </w:tc>
      </w:tr>
      <w:tr>
        <w:trPr>
          <w:trHeight w:val="173"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Project Output </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Election security and integrity enhanced through the strengthening of the national peace infrastructure.</w:t>
            </w:r>
          </w:p>
        </w:tc>
      </w:tr>
      <w:tr>
        <w:trPr>
          <w:trHeight w:val="306"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Baseline</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2" w:right="0" w:hanging="1"/>
              <w:jc w:val="left"/>
            </w:pPr>
            <w:r>
              <w:rPr>
                <w:rFonts w:cs="Times New Roman" w:hAnsi="Times New Roman" w:eastAsia="Times New Roman" w:ascii="Times New Roman"/>
                <w:sz w:val="11"/>
              </w:rPr>
              <w:t xml:space="preserve">Electoral events have resulted in conflict and even deaths in some areas in Tanzania. Recent staudies have shown that violence or perception of violence has had adverse effect on voter turnout especially during 2010on Mainland. They recommended intensified efforts to promote a culture of peace.</w:t>
            </w:r>
          </w:p>
        </w:tc>
      </w:tr>
      <w:tr>
        <w:trPr>
          <w:trHeight w:val="173"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Targets</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Stakeholders engage early with the electoral process to address potential conflicts in a timely manner and promote an environment of peace and tolerance.</w:t>
            </w:r>
          </w:p>
        </w:tc>
      </w:tr>
      <w:tr>
        <w:trPr>
          <w:trHeight w:val="173"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Indicators</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Stakeholders perception that elections would be peaceful, No. of cases of violence and intimidation before, during and after elections, ability of politici</w:t>
            </w:r>
          </w:p>
        </w:tc>
      </w:tr>
      <w:tr>
        <w:trPr>
          <w:trHeight w:val="173" w:hRule="atLeast"/>
        </w:trPr>
        <w:tc>
          <w:tcPr>
            <w:tcW w:w="2275" w:type="dxa"/>
            <w:tcBorders>
              <w:top w:val="single" w:sz="4" w:color="000000"/>
              <w:left w:val="nil"/>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b w:val="1"/>
                <w:sz w:val="11"/>
              </w:rPr>
              <w:t xml:space="preserve">Means of Verification</w:t>
            </w:r>
          </w:p>
        </w:tc>
        <w:tc>
          <w:tcPr>
            <w:tcW w:w="8864" w:type="dxa"/>
            <w:gridSpan w:val="4"/>
            <w:tcBorders>
              <w:top w:val="single" w:sz="4" w:color="000000"/>
              <w:left w:val="single" w:sz="4" w:color="000000"/>
              <w:bottom w:val="single" w:sz="4" w:color="000000"/>
              <w:right w:val="single" w:sz="4" w:color="000000"/>
            </w:tcBorders>
            <w:shd w:val="clear" w:fill="c5d9f1"/>
            <w:vAlign w:val="top"/>
          </w:tcPr>
          <w:p>
            <w:pPr>
              <w:spacing w:before="0" w:after="0" w:line="259" w:lineRule="auto"/>
              <w:ind w:left="1" w:right="0" w:firstLine="0"/>
              <w:jc w:val="left"/>
            </w:pPr>
            <w:r>
              <w:rPr>
                <w:rFonts w:cs="Times New Roman" w:hAnsi="Times New Roman" w:eastAsia="Times New Roman" w:ascii="Times New Roman"/>
                <w:sz w:val="11"/>
              </w:rPr>
              <w:t xml:space="preserve">Election results and observer reports, Police records, EMB reports, media reports.</w:t>
            </w:r>
          </w:p>
        </w:tc>
      </w:tr>
      <w:tr>
        <w:trPr>
          <w:trHeight w:val="173" w:hRule="atLeast"/>
        </w:trPr>
        <w:tc>
          <w:tcPr>
            <w:tcW w:w="2275" w:type="dxa"/>
            <w:tcBorders>
              <w:top w:val="single" w:sz="4" w:color="000000"/>
              <w:left w:val="nil"/>
              <w:bottom w:val="single" w:sz="4" w:color="000000"/>
              <w:right w:val="single" w:sz="4" w:color="000000"/>
            </w:tcBorders>
            <w:shd w:val="clear" w:fill="dce6f1"/>
            <w:vAlign w:val="top"/>
          </w:tcPr>
          <w:p>
            <w:pPr>
              <w:spacing w:before="0" w:after="0" w:line="259" w:lineRule="auto"/>
              <w:ind w:left="0" w:right="13" w:firstLine="0"/>
              <w:jc w:val="center"/>
            </w:pPr>
            <w:r>
              <w:rPr>
                <w:rFonts w:cs="Times New Roman" w:hAnsi="Times New Roman" w:eastAsia="Times New Roman" w:ascii="Times New Roman"/>
                <w:b w:val="1"/>
                <w:sz w:val="11"/>
              </w:rPr>
              <w:t xml:space="preserve">Outputs</w:t>
            </w:r>
          </w:p>
        </w:tc>
        <w:tc>
          <w:tcPr>
            <w:tcW w:w="2355" w:type="dxa"/>
            <w:tcBorders>
              <w:top w:val="single" w:sz="4" w:color="000000"/>
              <w:left w:val="single" w:sz="4" w:color="000000"/>
              <w:bottom w:val="single" w:sz="4" w:color="000000"/>
              <w:right w:val="single" w:sz="9"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Targets</w:t>
            </w:r>
          </w:p>
        </w:tc>
        <w:tc>
          <w:tcPr>
            <w:tcW w:w="1787" w:type="dxa"/>
            <w:tcBorders>
              <w:top w:val="single" w:sz="4" w:color="000000"/>
              <w:left w:val="single" w:sz="9" w:color="000000"/>
              <w:bottom w:val="single" w:sz="4" w:color="000000"/>
              <w:right w:val="single" w:sz="9"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Indicators</w:t>
            </w:r>
          </w:p>
        </w:tc>
        <w:tc>
          <w:tcPr>
            <w:tcW w:w="1890" w:type="dxa"/>
            <w:tcBorders>
              <w:top w:val="single" w:sz="4" w:color="000000"/>
              <w:left w:val="single" w:sz="9" w:color="000000"/>
              <w:bottom w:val="single" w:sz="4" w:color="000000"/>
              <w:right w:val="single" w:sz="4" w:color="000000"/>
            </w:tcBorders>
            <w:shd w:val="clear" w:fill="dce6f1"/>
            <w:vAlign w:val="top"/>
          </w:tcPr>
          <w:p>
            <w:pPr>
              <w:spacing w:before="0" w:after="0" w:line="259" w:lineRule="auto"/>
              <w:ind w:left="0" w:right="9" w:firstLine="0"/>
              <w:jc w:val="center"/>
            </w:pPr>
            <w:r>
              <w:rPr>
                <w:rFonts w:cs="Times New Roman" w:hAnsi="Times New Roman" w:eastAsia="Times New Roman" w:ascii="Times New Roman"/>
                <w:b w:val="1"/>
                <w:sz w:val="11"/>
              </w:rPr>
              <w:t xml:space="preserve">Means of Verification</w:t>
            </w:r>
          </w:p>
        </w:tc>
        <w:tc>
          <w:tcPr>
            <w:tcW w:w="2831" w:type="dxa"/>
            <w:tcBorders>
              <w:top w:val="single" w:sz="4" w:color="000000"/>
              <w:left w:val="single" w:sz="4" w:color="000000"/>
              <w:bottom w:val="single" w:sz="4" w:color="000000"/>
              <w:right w:val="single" w:sz="4" w:color="000000"/>
            </w:tcBorders>
            <w:shd w:val="clear" w:fill="dce6f1"/>
            <w:vAlign w:val="top"/>
          </w:tcPr>
          <w:p>
            <w:pPr>
              <w:spacing w:before="0" w:after="0" w:line="259" w:lineRule="auto"/>
              <w:ind w:left="0" w:right="10" w:firstLine="0"/>
              <w:jc w:val="center"/>
            </w:pPr>
            <w:r>
              <w:rPr>
                <w:rFonts w:cs="Times New Roman" w:hAnsi="Times New Roman" w:eastAsia="Times New Roman" w:ascii="Times New Roman"/>
                <w:b w:val="1"/>
                <w:sz w:val="11"/>
              </w:rPr>
              <w:t xml:space="preserve">Activities</w:t>
            </w:r>
          </w:p>
        </w:tc>
      </w:tr>
      <w:tr>
        <w:trPr>
          <w:trHeight w:val="381" w:hRule="atLeast"/>
        </w:trPr>
        <w:tc>
          <w:tcPr>
            <w:tcW w:w="2275" w:type="dxa"/>
            <w:tcBorders>
              <w:top w:val="single" w:sz="4" w:color="000000"/>
              <w:left w:val="single" w:sz="4" w:color="000000"/>
              <w:bottom w:val="single" w:sz="4" w:color="000000"/>
              <w:right w:val="single" w:sz="4" w:color="000000"/>
            </w:tcBorders>
            <w:vAlign w:val="top"/>
          </w:tcPr>
          <w:p>
            <w:pPr>
              <w:spacing w:before="0" w:after="0" w:line="259" w:lineRule="auto"/>
              <w:ind w:left="1" w:right="0" w:hanging="0"/>
              <w:jc w:val="left"/>
            </w:pPr>
            <w:r>
              <w:rPr>
                <w:rFonts w:cs="Times New Roman" w:hAnsi="Times New Roman" w:eastAsia="Times New Roman" w:ascii="Times New Roman"/>
                <w:sz w:val="11"/>
              </w:rPr>
              <w:t xml:space="preserve">Election security and integrity enhanced through the strengthening of the national peace infrastructure.</w:t>
            </w: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1" w:right="0" w:hanging="0"/>
              <w:jc w:val="left"/>
            </w:pPr>
            <w:r>
              <w:rPr>
                <w:rFonts w:cs="Times New Roman" w:hAnsi="Times New Roman" w:eastAsia="Times New Roman" w:ascii="Times New Roman"/>
                <w:sz w:val="11"/>
              </w:rPr>
              <w:t xml:space="preserve">Year 1. Police ICT network for Emergency response extended to strategic locations.</w:t>
            </w: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Technical advice and support for the TPF to procure equipment for rapid response management.</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Year 2. National Infrustructure for peace mechanism established.</w:t>
            </w: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0" w:right="0" w:firstLine="1"/>
              <w:jc w:val="left"/>
            </w:pPr>
            <w:r>
              <w:rPr>
                <w:rFonts w:cs="Times New Roman" w:hAnsi="Times New Roman" w:eastAsia="Times New Roman" w:ascii="Times New Roman"/>
                <w:sz w:val="11"/>
              </w:rPr>
              <w:t xml:space="preserve">Regional inter-stakeholder dialogue to improve the democratic environment.</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spacing w:before="0" w:after="0" w:line="259" w:lineRule="auto"/>
              <w:ind w:left="2" w:right="0" w:hanging="1"/>
              <w:jc w:val="left"/>
            </w:pPr>
            <w:r>
              <w:rPr>
                <w:rFonts w:cs="Times New Roman" w:hAnsi="Times New Roman" w:eastAsia="Times New Roman" w:ascii="Times New Roman"/>
                <w:sz w:val="11"/>
              </w:rPr>
              <w:t xml:space="preserve">Year 3. National peace and human rights campaigns launched. </w:t>
            </w: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firstLine="0"/>
              <w:jc w:val="left"/>
            </w:pPr>
            <w:r>
              <w:rPr>
                <w:rFonts w:cs="Times New Roman" w:hAnsi="Times New Roman" w:eastAsia="Times New Roman" w:ascii="Times New Roman"/>
                <w:sz w:val="11"/>
              </w:rPr>
              <w:t xml:space="preserve">Human rights and gender awareness TOT training to the Police </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1" w:right="0" w:hanging="0"/>
              <w:jc w:val="left"/>
            </w:pPr>
            <w:r>
              <w:rPr>
                <w:rFonts w:cs="Times New Roman" w:hAnsi="Times New Roman" w:eastAsia="Times New Roman" w:ascii="Times New Roman"/>
                <w:sz w:val="11"/>
              </w:rPr>
              <w:t xml:space="preserve">Confidence building dialogue between Police/EMB, Police/Political Parties/CSO's.</w:t>
            </w:r>
          </w:p>
        </w:tc>
      </w:tr>
      <w:tr>
        <w:trPr>
          <w:trHeight w:val="253" w:hRule="atLeast"/>
        </w:trPr>
        <w:tc>
          <w:tcPr>
            <w:tcW w:w="227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355"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787"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1890" w:type="dxa"/>
            <w:tcBorders>
              <w:top w:val="single" w:sz="4" w:color="000000"/>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2831" w:type="dxa"/>
            <w:tcBorders>
              <w:top w:val="single" w:sz="4" w:color="000000"/>
              <w:left w:val="single" w:sz="4" w:color="000000"/>
              <w:bottom w:val="single" w:sz="4" w:color="000000"/>
              <w:right w:val="single" w:sz="4" w:color="000000"/>
            </w:tcBorders>
            <w:vAlign w:val="top"/>
          </w:tcPr>
          <w:p>
            <w:pPr>
              <w:spacing w:before="0" w:after="0" w:line="259" w:lineRule="auto"/>
              <w:ind w:left="2" w:right="0" w:hanging="1"/>
              <w:jc w:val="left"/>
            </w:pPr>
            <w:r>
              <w:rPr>
                <w:rFonts w:cs="Times New Roman" w:hAnsi="Times New Roman" w:eastAsia="Times New Roman" w:ascii="Times New Roman"/>
                <w:sz w:val="11"/>
              </w:rPr>
              <w:t xml:space="preserve">Technical assistance for conflict prevention approaches and GBV in conflict.</w:t>
            </w:r>
          </w:p>
        </w:tc>
      </w:tr>
      <w:tr>
        <w:trPr>
          <w:trHeight w:val="128" w:hRule="atLeast"/>
        </w:trPr>
        <w:tc>
          <w:tcPr>
            <w:tcW w:w="11139" w:type="dxa"/>
            <w:gridSpan w:val="5"/>
            <w:tcBorders>
              <w:top w:val="single" w:sz="4" w:color="000000"/>
              <w:left w:val="nil"/>
              <w:bottom w:val="nil"/>
              <w:right w:val="single" w:sz="4" w:color="000000"/>
            </w:tcBorders>
            <w:vAlign w:val="top"/>
          </w:tcPr>
          <w:p>
            <w:pPr>
              <w:bidi w:val="0"/>
              <w:spacing w:before="0" w:after="160" w:line="259" w:lineRule="auto"/>
              <w:ind w:left="0" w:right="0" w:firstLine="0"/>
              <w:jc w:val="left"/>
            </w:pPr>
          </w:p>
        </w:tc>
      </w:tr>
    </w:tbl>
    <w:p>
      <w:pPr>
        <w:sectPr>
          <w:headerReference w:type="even" r:id="rId41"/>
          <w:headerReference w:type="default" r:id="rId39"/>
          <w:headerReference w:type="first" r:id="rId37"/>
          <w:footerReference w:type="even" r:id="rId42"/>
          <w:footerReference w:type="default" r:id="rId40"/>
          <w:footerReference w:type="first" r:id="rId38"/>
          <w:pgSz w:w="11900" w:h="16840" w:orient="portrait"/>
          <w:pgMar w:left="4608" w:top="438" w:right="361" w:bottom="1046"/>
          <w:cols/>
        </w:sectPr>
      </w:pPr>
    </w:p>
    <w:p>
      <w:pPr>
        <w:pStyle w:val="heading4"/>
        <w:spacing w:before="0" w:after="0" w:line="259" w:lineRule="auto"/>
        <w:ind w:left="-4" w:right="0"/>
      </w:pPr>
      <w:r>
        <w:rPr/>
        <w:t xml:space="preserve">ANNEX III: TANZANIA POST 2010</w:t>
      </w:r>
      <w:r>
        <w:rPr/>
        <w:t xml:space="preserve">-</w:t>
      </w:r>
      <w:r>
        <w:rPr/>
        <w:t xml:space="preserve">ELECTIONS: RECOMMENDATIONS AND LESSONS LEARNT TO DATE</w:t>
      </w:r>
      <w:r>
        <w:rPr>
          <w:rFonts w:cs="Calibri" w:hAnsi="Calibri" w:eastAsia="Calibri" w:ascii="Calibri"/>
          <w:b w:val="0"/>
        </w:rPr>
        <w:t xml:space="preserve"> </w:t>
      </w:r>
    </w:p>
    <w:p>
      <w:pPr>
        <w:spacing w:before="0" w:after="0" w:line="259" w:lineRule="auto"/>
        <w:ind w:left="0" w:right="0" w:firstLine="0"/>
        <w:jc w:val="left"/>
      </w:pPr>
      <w:r>
        <w:rPr/>
        <w:t xml:space="preserve"> </w:t>
      </w:r>
    </w:p>
    <w:p>
      <w:pPr>
        <w:pStyle w:val="normal"/>
        <w:spacing w:before="0" w:after="3" w:line="248" w:lineRule="auto"/>
        <w:ind w:left="-5" w:right="0"/>
      </w:pPr>
      <w:r>
        <w:rPr/>
        <w:t xml:space="preserve">UNDP, and other partners, are also aware of and will take into full consideration the findings of independent evaluations and lessons learned from previous projects and observer missions. These include:</w:t>
      </w:r>
      <w:r>
        <w:rPr/>
        <w:t xml:space="preserve"> </w:t>
      </w:r>
    </w:p>
    <w:tbl>
      <w:tblPr>
        <w:tblStyle w:val="TableGrid"/>
        <w:tblW w:w="13970" w:type="dxa"/>
        <w:tblInd w:w="-108" w:type="dxa"/>
        <w:tblCellMar>
          <w:top w:w="46" w:type="dxa"/>
          <w:left w:w="0" w:type="dxa"/>
          <w:bottom w:w="0" w:type="dxa"/>
          <w:right w:w="58" w:type="dxa"/>
        </w:tblCellMar>
      </w:tblPr>
      <w:tblGrid>
        <w:gridCol w:w="4248"/>
        <w:gridCol w:w="509"/>
        <w:gridCol w:w="4172"/>
        <w:gridCol w:w="5041"/>
      </w:tblGrid>
      <w:tr>
        <w:trPr>
          <w:trHeight w:val="2158" w:hRule="atLeast"/>
        </w:trPr>
        <w:tc>
          <w:tcPr>
            <w:tcW w:w="4248" w:type="dxa"/>
            <w:tcBorders>
              <w:top w:val="single" w:sz="4" w:color="000000"/>
              <w:left w:val="single" w:sz="4" w:color="000000"/>
              <w:bottom w:val="single" w:sz="4" w:color="000000"/>
              <w:right w:val="single" w:sz="4" w:color="000000"/>
            </w:tcBorders>
            <w:vAlign w:val="top"/>
          </w:tcPr>
          <w:p>
            <w:pPr>
              <w:spacing w:before="0" w:after="0" w:line="259" w:lineRule="auto"/>
              <w:ind w:left="828" w:right="0" w:firstLine="0"/>
              <w:jc w:val="left"/>
            </w:pPr>
            <w:r>
              <w:rPr>
                <w:rFonts w:cs="Calibri" w:hAnsi="Calibri" w:eastAsia="Calibri" w:ascii="Calibri"/>
                <w:b w:val="1"/>
              </w:rPr>
              <w:t xml:space="preserve">DDTP One</w:t>
            </w:r>
            <w:r>
              <w:rPr>
                <w:rFonts w:cs="Calibri" w:hAnsi="Calibri" w:eastAsia="Calibri" w:ascii="Calibri"/>
                <w:b w:val="1"/>
              </w:rPr>
              <w:t xml:space="preserve"> </w:t>
            </w:r>
          </w:p>
          <w:p>
            <w:pPr>
              <w:spacing w:before="0" w:after="0" w:line="259" w:lineRule="auto"/>
              <w:ind w:left="108" w:right="0" w:firstLine="0"/>
              <w:jc w:val="left"/>
            </w:pPr>
            <w:r>
              <w:rPr>
                <w:rFonts w:cs="Calibri" w:hAnsi="Calibri" w:eastAsia="Calibri" w:ascii="Calibri"/>
                <w:b w:val="1"/>
              </w:rPr>
              <w:t xml:space="preserve"> </w:t>
            </w:r>
          </w:p>
          <w:p>
            <w:pPr>
              <w:spacing w:before="0" w:after="1" w:line="239" w:lineRule="auto"/>
              <w:ind w:left="108" w:right="47" w:firstLine="0"/>
            </w:pPr>
            <w:r>
              <w:rPr>
                <w:rFonts w:cs="Calibri" w:hAnsi="Calibri" w:eastAsia="Calibri" w:ascii="Calibri"/>
                <w:b w:val="1"/>
              </w:rPr>
              <w:t xml:space="preserve">The UNDP Deepening Democracy in Tanzania project (2006 </w:t>
            </w:r>
            <w:r>
              <w:rPr>
                <w:rFonts w:cs="Calibri" w:hAnsi="Calibri" w:eastAsia="Calibri" w:ascii="Calibri"/>
                <w:b w:val="1"/>
              </w:rPr>
              <w:t xml:space="preserve">– </w:t>
            </w:r>
            <w:r>
              <w:rPr>
                <w:rFonts w:cs="Calibri" w:hAnsi="Calibri" w:eastAsia="Calibri" w:ascii="Calibri"/>
                <w:b w:val="1"/>
              </w:rPr>
              <w:t xml:space="preserve">2010</w:t>
            </w:r>
            <w:r>
              <w:rPr>
                <w:rFonts w:cs="Calibri" w:hAnsi="Calibri" w:eastAsia="Calibri" w:ascii="Calibri"/>
                <w:b w:val="1"/>
              </w:rPr>
              <w:t xml:space="preserve">) was</w:t>
            </w:r>
            <w:r>
              <w:rPr>
                <w:rFonts w:cs="Calibri" w:hAnsi="Calibri" w:eastAsia="Calibri" w:ascii="Calibri"/>
                <w:b w:val="1"/>
              </w:rPr>
              <w:t xml:space="preserve"> </w:t>
            </w:r>
            <w:r>
              <w:rPr>
                <w:rFonts w:cs="Calibri" w:hAnsi="Calibri" w:eastAsia="Calibri" w:ascii="Calibri"/>
                <w:b w:val="1"/>
              </w:rPr>
              <w:t xml:space="preserve">the election cycle project following</w:t>
            </w:r>
            <w:r>
              <w:rPr>
                <w:rFonts w:cs="Calibri" w:hAnsi="Calibri" w:eastAsia="Calibri" w:ascii="Calibri"/>
                <w:b w:val="1"/>
              </w:rPr>
              <w:t xml:space="preserve"> </w:t>
            </w:r>
            <w:r>
              <w:rPr>
                <w:rFonts w:cs="Calibri" w:hAnsi="Calibri" w:eastAsia="Calibri" w:ascii="Calibri"/>
                <w:b w:val="1"/>
              </w:rPr>
              <w:t xml:space="preserve">the 2005 general election. Evaluation recommendations include:</w:t>
            </w:r>
            <w:r>
              <w:rPr>
                <w:rFonts w:cs="Calibri" w:hAnsi="Calibri" w:eastAsia="Calibri" w:ascii="Calibri"/>
                <w:b w:val="1"/>
              </w:rPr>
              <w:t xml:space="preserve"> </w:t>
            </w:r>
          </w:p>
          <w:p>
            <w:pPr>
              <w:spacing w:before="0" w:after="0" w:line="259" w:lineRule="auto"/>
              <w:ind w:left="828" w:right="0" w:firstLine="0"/>
              <w:jc w:val="left"/>
            </w:pPr>
            <w:r>
              <w:rPr>
                <w:rFonts w:cs="Calibri" w:hAnsi="Calibri" w:eastAsia="Calibri" w:ascii="Calibri"/>
                <w:b w:val="1"/>
              </w:rPr>
              <w:t xml:space="preserve"> </w:t>
            </w:r>
          </w:p>
        </w:tc>
        <w:tc>
          <w:tcPr>
            <w:tcW w:w="509" w:type="dxa"/>
            <w:tcBorders>
              <w:top w:val="single" w:sz="4" w:color="000000"/>
              <w:left w:val="single" w:sz="4" w:color="000000"/>
              <w:bottom w:val="single" w:sz="4" w:color="000000"/>
              <w:right w:val="nil"/>
            </w:tcBorders>
            <w:vAlign w:val="top"/>
          </w:tcPr>
          <w:p>
            <w:pPr>
              <w:bidi w:val="0"/>
              <w:spacing w:before="0" w:after="160" w:line="259" w:lineRule="auto"/>
              <w:ind w:left="0" w:right="0" w:firstLine="0"/>
              <w:jc w:val="left"/>
            </w:pPr>
          </w:p>
        </w:tc>
        <w:tc>
          <w:tcPr>
            <w:tcW w:w="4172" w:type="dxa"/>
            <w:tcBorders>
              <w:top w:val="single" w:sz="4" w:color="000000"/>
              <w:left w:val="nil"/>
              <w:bottom w:val="single" w:sz="4" w:color="000000"/>
              <w:right w:val="single" w:sz="4" w:color="000000"/>
            </w:tcBorders>
            <w:vAlign w:val="top"/>
          </w:tcPr>
          <w:p>
            <w:pPr>
              <w:spacing w:before="0" w:after="0" w:line="259" w:lineRule="auto"/>
              <w:ind w:left="320" w:right="0" w:firstLine="0"/>
              <w:jc w:val="left"/>
            </w:pPr>
            <w:r>
              <w:rPr>
                <w:rFonts w:cs="Calibri" w:hAnsi="Calibri" w:eastAsia="Calibri" w:ascii="Calibri"/>
                <w:b w:val="1"/>
              </w:rPr>
              <w:t xml:space="preserve">ESP 2010</w:t>
            </w:r>
            <w:r>
              <w:rPr>
                <w:rFonts w:cs="Calibri" w:hAnsi="Calibri" w:eastAsia="Calibri" w:ascii="Calibri"/>
                <w:b w:val="1"/>
              </w:rPr>
              <w:t xml:space="preserve"> </w:t>
            </w:r>
          </w:p>
        </w:tc>
        <w:tc>
          <w:tcPr>
            <w:tcW w:w="5041" w:type="dxa"/>
            <w:tcBorders>
              <w:top w:val="single" w:sz="4" w:color="000000"/>
              <w:left w:val="single" w:sz="4" w:color="000000"/>
              <w:bottom w:val="single" w:sz="4" w:color="000000"/>
              <w:right w:val="single" w:sz="4" w:color="000000"/>
            </w:tcBorders>
            <w:vAlign w:val="top"/>
          </w:tcPr>
          <w:p>
            <w:pPr>
              <w:spacing w:before="0" w:after="0" w:line="259" w:lineRule="auto"/>
              <w:ind w:left="828" w:right="0" w:firstLine="0"/>
              <w:jc w:val="left"/>
            </w:pPr>
            <w:r>
              <w:rPr>
                <w:rFonts w:cs="Calibri" w:hAnsi="Calibri" w:eastAsia="Calibri" w:ascii="Calibri"/>
                <w:b w:val="1"/>
              </w:rPr>
              <w:t xml:space="preserve">Observer missions 2010.</w:t>
            </w:r>
            <w:r>
              <w:rPr>
                <w:rFonts w:cs="Calibri" w:hAnsi="Calibri" w:eastAsia="Calibri" w:ascii="Calibri"/>
                <w:b w:val="1"/>
              </w:rPr>
              <w:t xml:space="preserve"> </w:t>
            </w:r>
          </w:p>
          <w:p>
            <w:pPr>
              <w:spacing w:before="0" w:after="0" w:line="259" w:lineRule="auto"/>
              <w:ind w:left="108" w:right="0" w:firstLine="0"/>
              <w:jc w:val="left"/>
            </w:pPr>
            <w:r>
              <w:rPr>
                <w:rFonts w:cs="Calibri" w:hAnsi="Calibri" w:eastAsia="Calibri" w:ascii="Calibri"/>
                <w:b w:val="1"/>
              </w:rPr>
              <w:t xml:space="preserve"> </w:t>
            </w:r>
          </w:p>
          <w:p>
            <w:pPr>
              <w:spacing w:before="0" w:after="1" w:line="239" w:lineRule="auto"/>
              <w:ind w:left="108" w:right="52" w:firstLine="0"/>
            </w:pPr>
            <w:r>
              <w:rPr>
                <w:rFonts w:cs="Calibri" w:hAnsi="Calibri" w:eastAsia="Calibri" w:ascii="Calibri"/>
                <w:b w:val="1"/>
              </w:rPr>
              <w:t xml:space="preserve">UNDP and other partners are also aware of the views and recommendations from national and international 2010 general election observer missions, which include:</w:t>
            </w:r>
            <w:r>
              <w:rPr>
                <w:rFonts w:cs="Calibri" w:hAnsi="Calibri" w:eastAsia="Calibri" w:ascii="Calibri"/>
                <w:b w:val="1"/>
              </w:rPr>
              <w:t xml:space="preserve"> </w:t>
            </w:r>
          </w:p>
          <w:p>
            <w:pPr>
              <w:spacing w:before="0" w:after="0" w:line="259" w:lineRule="auto"/>
              <w:ind w:left="828" w:right="0" w:firstLine="0"/>
              <w:jc w:val="left"/>
            </w:pPr>
            <w:r>
              <w:rPr>
                <w:rFonts w:cs="Calibri" w:hAnsi="Calibri" w:eastAsia="Calibri" w:ascii="Calibri"/>
                <w:b w:val="1"/>
              </w:rPr>
              <w:t xml:space="preserve"> </w:t>
            </w:r>
          </w:p>
        </w:tc>
      </w:tr>
      <w:tr>
        <w:trPr>
          <w:trHeight w:val="6038" w:hRule="atLeast"/>
        </w:trPr>
        <w:tc>
          <w:tcPr>
            <w:tcW w:w="4248" w:type="dxa"/>
            <w:tcBorders>
              <w:top w:val="single" w:sz="4" w:color="000000"/>
              <w:left w:val="single" w:sz="4" w:color="000000"/>
              <w:bottom w:val="single" w:sz="4" w:color="000000"/>
              <w:right w:val="single" w:sz="4" w:color="000000"/>
            </w:tcBorders>
            <w:vAlign w:val="top"/>
          </w:tcPr>
          <w:p>
            <w:pPr>
              <w:numPr>
                <w:ilvl w:val="0"/>
                <w:numId w:val="59"/>
              </w:numPr>
              <w:spacing w:before="0" w:after="43" w:line="239" w:lineRule="auto"/>
              <w:ind w:left="509" w:right="48" w:hanging="401"/>
            </w:pPr>
            <w:r>
              <w:rPr/>
              <w:t xml:space="preserve">Continuation of the concept and objectives of DDTP (deepening democracy) while not limiting consideration to the specific components, IPs or modalities to date.</w:t>
            </w:r>
            <w:r>
              <w:rPr/>
              <w:t xml:space="preserve"> </w:t>
            </w:r>
          </w:p>
          <w:p>
            <w:pPr>
              <w:numPr>
                <w:ilvl w:val="0"/>
                <w:numId w:val="59"/>
              </w:numPr>
              <w:spacing w:before="0" w:after="46" w:line="239" w:lineRule="auto"/>
              <w:ind w:left="509" w:right="48" w:hanging="401"/>
            </w:pPr>
            <w:r>
              <w:rPr/>
              <w:t xml:space="preserve">Any electoral cycle process embraces activities including voter education, legal and constitutional reform, engagement with political parties.</w:t>
            </w:r>
            <w:r>
              <w:rPr/>
              <w:t xml:space="preserve"> </w:t>
            </w:r>
          </w:p>
          <w:p>
            <w:pPr>
              <w:numPr>
                <w:ilvl w:val="0"/>
                <w:numId w:val="59"/>
              </w:numPr>
              <w:spacing w:before="0" w:after="46" w:line="240" w:lineRule="auto"/>
              <w:ind w:left="509" w:right="48" w:hanging="401"/>
            </w:pPr>
            <w:r>
              <w:rPr/>
              <w:t xml:space="preserve">There is need to address the entire electoral cycle in the support for an uninterrupted and sustained approach</w:t>
            </w:r>
            <w:r>
              <w:rPr/>
              <w:t xml:space="preserve"> </w:t>
            </w:r>
          </w:p>
          <w:p>
            <w:pPr>
              <w:numPr>
                <w:ilvl w:val="0"/>
                <w:numId w:val="59"/>
              </w:numPr>
              <w:spacing w:before="0" w:after="0" w:line="259" w:lineRule="auto"/>
              <w:ind w:left="509" w:right="48" w:hanging="401"/>
            </w:pPr>
            <w:r>
              <w:rPr/>
              <w:t xml:space="preserve">A robust project management support </w:t>
            </w:r>
          </w:p>
          <w:p>
            <w:pPr>
              <w:spacing w:before="0" w:after="24" w:line="259" w:lineRule="auto"/>
              <w:ind w:left="468" w:right="0" w:firstLine="0"/>
              <w:jc w:val="left"/>
            </w:pPr>
            <w:r>
              <w:rPr/>
              <w:t xml:space="preserve">structure is needed </w:t>
            </w:r>
            <w:r>
              <w:rPr/>
              <w:t xml:space="preserve"> </w:t>
            </w:r>
          </w:p>
          <w:p>
            <w:pPr>
              <w:numPr>
                <w:ilvl w:val="0"/>
                <w:numId w:val="59"/>
              </w:numPr>
              <w:spacing w:before="0" w:after="0" w:line="259" w:lineRule="auto"/>
              <w:ind w:left="509" w:right="48" w:hanging="401"/>
            </w:pPr>
            <w:r>
              <w:rPr/>
              <w:t xml:space="preserve">The project timeframe must give ample </w:t>
            </w:r>
          </w:p>
          <w:p>
            <w:pPr>
              <w:spacing w:before="0" w:after="24" w:line="259" w:lineRule="auto"/>
              <w:ind w:left="468" w:right="0" w:firstLine="0"/>
              <w:jc w:val="left"/>
            </w:pPr>
            <w:r>
              <w:rPr/>
              <w:t xml:space="preserve">time for start up </w:t>
            </w:r>
            <w:r>
              <w:rPr/>
              <w:t xml:space="preserve"> </w:t>
            </w:r>
          </w:p>
          <w:p>
            <w:pPr>
              <w:numPr>
                <w:ilvl w:val="0"/>
                <w:numId w:val="59"/>
              </w:numPr>
              <w:spacing w:before="0" w:after="43" w:line="240" w:lineRule="auto"/>
              <w:ind w:left="509" w:right="48" w:hanging="401"/>
            </w:pPr>
            <w:r>
              <w:rPr/>
              <w:t xml:space="preserve">Establishment of baselines early in the project is key to monitoring and evaluation.</w:t>
            </w:r>
            <w:r>
              <w:rPr/>
              <w:t xml:space="preserve"> </w:t>
            </w:r>
          </w:p>
          <w:p>
            <w:pPr>
              <w:numPr>
                <w:ilvl w:val="0"/>
                <w:numId w:val="59"/>
              </w:numPr>
              <w:spacing w:before="0" w:after="45" w:line="240" w:lineRule="auto"/>
              <w:ind w:left="509" w:right="48" w:hanging="401"/>
            </w:pPr>
            <w:r>
              <w:rPr/>
              <w:t xml:space="preserve">Timely 	development 	of 	a 	sound monitoring and evaluation framework</w:t>
            </w:r>
            <w:r>
              <w:rPr/>
              <w:t xml:space="preserve"> </w:t>
            </w:r>
          </w:p>
          <w:p>
            <w:pPr>
              <w:numPr>
                <w:ilvl w:val="0"/>
                <w:numId w:val="59"/>
              </w:numPr>
              <w:spacing w:before="0" w:after="0" w:line="259" w:lineRule="auto"/>
              <w:ind w:left="509" w:right="48" w:hanging="401"/>
            </w:pPr>
            <w:r>
              <w:rPr/>
              <w:t xml:space="preserve">Procurement needs sufficient lead time.</w:t>
            </w:r>
            <w:r>
              <w:rPr/>
              <w:t xml:space="preserve"> </w:t>
            </w:r>
          </w:p>
        </w:tc>
        <w:tc>
          <w:tcPr>
            <w:tcW w:w="509" w:type="dxa"/>
            <w:tcBorders>
              <w:top w:val="single" w:sz="4" w:color="000000"/>
              <w:left w:val="single" w:sz="4" w:color="000000"/>
              <w:bottom w:val="single" w:sz="4" w:color="000000"/>
              <w:right w:val="nil"/>
            </w:tcBorders>
            <w:vAlign w:val="top"/>
          </w:tcPr>
          <w:p>
            <w:pPr>
              <w:spacing w:before="0" w:after="80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1066"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3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tc>
        <w:tc>
          <w:tcPr>
            <w:tcW w:w="4172" w:type="dxa"/>
            <w:tcBorders>
              <w:top w:val="single" w:sz="4" w:color="000000"/>
              <w:left w:val="nil"/>
              <w:bottom w:val="single" w:sz="4" w:color="000000"/>
              <w:right w:val="single" w:sz="4" w:color="000000"/>
            </w:tcBorders>
            <w:vAlign w:val="top"/>
          </w:tcPr>
          <w:p>
            <w:pPr>
              <w:spacing w:before="0" w:after="12" w:line="239" w:lineRule="auto"/>
              <w:ind w:left="0" w:right="48" w:firstLine="0"/>
            </w:pPr>
            <w:r>
              <w:rPr/>
              <w:t xml:space="preserve">The project should have started at least 3</w:t>
            </w:r>
            <w:r>
              <w:rPr/>
              <w:t xml:space="preserve">-</w:t>
            </w:r>
            <w:r>
              <w:rPr/>
              <w:t xml:space="preserve">4 </w:t>
            </w:r>
            <w:r>
              <w:rPr/>
              <w:t xml:space="preserve">months earlier than it did in order to establish the project </w:t>
            </w:r>
            <w:r>
              <w:rPr/>
              <w:t xml:space="preserve">– </w:t>
            </w:r>
            <w:r>
              <w:rPr/>
              <w:t xml:space="preserve">to commence recruitment and procurement</w:t>
            </w:r>
            <w:r>
              <w:rPr/>
              <w:t xml:space="preserve">.</w:t>
            </w:r>
            <w:r>
              <w:rPr/>
              <w:t xml:space="preserve"> </w:t>
            </w:r>
          </w:p>
          <w:p>
            <w:pPr>
              <w:spacing w:before="0" w:after="13" w:line="239" w:lineRule="auto"/>
              <w:ind w:left="0" w:right="49" w:firstLine="0"/>
            </w:pPr>
            <w:r>
              <w:rPr/>
              <w:t xml:space="preserve">There was a need for more lead time in order to submit procurement requests and submission of requisitions for them to be filled out appropriately and to develop the appropriate specifications.</w:t>
            </w:r>
            <w:r>
              <w:rPr/>
              <w:t xml:space="preserve"> </w:t>
            </w:r>
          </w:p>
          <w:p>
            <w:pPr>
              <w:spacing w:before="0" w:after="12" w:line="240" w:lineRule="auto"/>
              <w:ind w:left="0" w:right="49" w:firstLine="0"/>
            </w:pPr>
            <w:r>
              <w:rPr/>
              <w:t xml:space="preserve">Results</w:t>
            </w:r>
            <w:r>
              <w:rPr/>
              <w:t xml:space="preserve">-</w:t>
            </w:r>
            <w:r>
              <w:rPr/>
              <w:t xml:space="preserve">based management at the upper level was applied at the component level only to a limited extent.</w:t>
            </w:r>
            <w:r>
              <w:rPr/>
              <w:t xml:space="preserve"> </w:t>
            </w:r>
          </w:p>
          <w:p>
            <w:pPr>
              <w:spacing w:before="0" w:after="13" w:line="238" w:lineRule="auto"/>
              <w:ind w:left="0" w:right="49" w:firstLine="0"/>
            </w:pPr>
            <w:r>
              <w:rPr/>
              <w:t xml:space="preserve">There was no baseline data established in the initial stages of the project </w:t>
            </w:r>
            <w:r>
              <w:rPr/>
              <w:t xml:space="preserve">– </w:t>
            </w:r>
            <w:r>
              <w:rPr/>
              <w:t xml:space="preserve">many of the targets were abstract.</w:t>
            </w:r>
            <w:r>
              <w:rPr/>
              <w:t xml:space="preserve"> </w:t>
            </w:r>
          </w:p>
          <w:p>
            <w:pPr>
              <w:spacing w:before="0" w:after="12" w:line="239" w:lineRule="auto"/>
              <w:ind w:left="0" w:right="0" w:firstLine="0"/>
            </w:pPr>
            <w:r>
              <w:rPr/>
              <w:t xml:space="preserve">An M&amp;E Framework should be established at the beginning of implementation</w:t>
            </w:r>
            <w:r>
              <w:rPr/>
              <w:t xml:space="preserve"> </w:t>
            </w:r>
          </w:p>
          <w:p>
            <w:pPr>
              <w:spacing w:before="0" w:after="14" w:line="238" w:lineRule="auto"/>
              <w:ind w:left="0" w:right="50" w:firstLine="0"/>
            </w:pPr>
            <w:r>
              <w:rPr/>
              <w:t xml:space="preserve">There was no risk management plan even though there was a risk table at the Project Doc</w:t>
            </w:r>
            <w:r>
              <w:rPr/>
              <w:t xml:space="preserve"> </w:t>
            </w:r>
          </w:p>
          <w:p>
            <w:pPr>
              <w:spacing w:before="0" w:after="0" w:line="259" w:lineRule="auto"/>
              <w:ind w:left="0" w:right="0" w:firstLine="0"/>
            </w:pPr>
            <w:r>
              <w:rPr/>
              <w:t xml:space="preserve">Staff at the component level did not use the monitoring and evaluation framework as </w:t>
            </w:r>
          </w:p>
        </w:tc>
        <w:tc>
          <w:tcPr>
            <w:tcW w:w="5041" w:type="dxa"/>
            <w:tcBorders>
              <w:top w:val="single" w:sz="4" w:color="000000"/>
              <w:left w:val="single" w:sz="4" w:color="000000"/>
              <w:bottom w:val="single" w:sz="4" w:color="000000"/>
              <w:right w:val="single" w:sz="4" w:color="000000"/>
            </w:tcBorders>
            <w:vAlign w:val="top"/>
          </w:tcPr>
          <w:p>
            <w:pPr>
              <w:numPr>
                <w:ilvl w:val="0"/>
                <w:numId w:val="60"/>
              </w:numPr>
              <w:spacing w:before="0" w:after="46" w:line="240" w:lineRule="auto"/>
              <w:ind w:left="468" w:right="0" w:hanging="360"/>
            </w:pPr>
            <w:r>
              <w:rPr/>
              <w:t xml:space="preserve">Women remain marginalized in their opportunities/participation as candidates (TEMCO)</w:t>
            </w:r>
            <w:r>
              <w:rPr/>
              <w:t xml:space="preserve"> </w:t>
            </w:r>
          </w:p>
          <w:p>
            <w:pPr>
              <w:numPr>
                <w:ilvl w:val="0"/>
                <w:numId w:val="60"/>
              </w:numPr>
              <w:spacing w:before="0" w:after="47" w:line="239" w:lineRule="auto"/>
              <w:ind w:left="468" w:right="0" w:hanging="360"/>
            </w:pPr>
            <w:r>
              <w:rPr/>
              <w:t xml:space="preserve">TBC (Tanzania Broadcasting Corporation) television was balanced in its election coverage, Zanzibar TV, radio and newspapers showed political bias. (TEMCO)</w:t>
            </w:r>
            <w:r>
              <w:rPr/>
              <w:t xml:space="preserve"> </w:t>
            </w:r>
          </w:p>
          <w:p>
            <w:pPr>
              <w:numPr>
                <w:ilvl w:val="0"/>
                <w:numId w:val="60"/>
              </w:numPr>
              <w:spacing w:before="0" w:after="46" w:line="240" w:lineRule="auto"/>
              <w:ind w:left="468" w:right="0" w:hanging="360"/>
            </w:pPr>
            <w:r>
              <w:rPr/>
              <w:t xml:space="preserve">Overall, the media made significant efforts to abide by codes of conduct (TEMCO)</w:t>
            </w:r>
            <w:r>
              <w:rPr/>
              <w:t xml:space="preserve"> </w:t>
            </w:r>
          </w:p>
          <w:p>
            <w:pPr>
              <w:numPr>
                <w:ilvl w:val="0"/>
                <w:numId w:val="60"/>
              </w:numPr>
              <w:spacing w:before="0" w:after="0" w:line="259" w:lineRule="auto"/>
              <w:ind w:left="468" w:right="0" w:hanging="360"/>
            </w:pPr>
            <w:r>
              <w:rPr/>
              <w:t xml:space="preserve">Increased 	voter 	education 	(for 	election </w:t>
            </w:r>
          </w:p>
          <w:p>
            <w:pPr>
              <w:spacing w:before="0" w:after="21" w:line="259" w:lineRule="auto"/>
              <w:ind w:left="468" w:right="0" w:firstLine="0"/>
              <w:jc w:val="left"/>
            </w:pPr>
            <w:r>
              <w:rPr/>
              <w:t xml:space="preserve">participation) is needed (TACCEO)</w:t>
            </w:r>
            <w:r>
              <w:rPr/>
              <w:t xml:space="preserve"> </w:t>
            </w:r>
          </w:p>
          <w:p>
            <w:pPr>
              <w:numPr>
                <w:ilvl w:val="0"/>
                <w:numId w:val="60"/>
              </w:numPr>
              <w:spacing w:before="0" w:after="46" w:line="240" w:lineRule="auto"/>
              <w:ind w:left="468" w:right="0" w:hanging="360"/>
            </w:pPr>
            <w:r>
              <w:rPr/>
              <w:t xml:space="preserve">Improved training of election officials (returning officers, polling clerks) is needed (TACCEO)</w:t>
            </w:r>
            <w:r>
              <w:rPr/>
              <w:t xml:space="preserve"> </w:t>
            </w:r>
          </w:p>
          <w:p>
            <w:pPr>
              <w:numPr>
                <w:ilvl w:val="0"/>
                <w:numId w:val="60"/>
              </w:numPr>
              <w:spacing w:before="0" w:after="46" w:line="240" w:lineRule="auto"/>
              <w:ind w:left="468" w:right="0" w:hanging="360"/>
            </w:pPr>
            <w:r>
              <w:rPr/>
              <w:t xml:space="preserve">NEC training for ICT support to election results timing and management is needed (TACCEO)</w:t>
            </w:r>
            <w:r>
              <w:rPr/>
              <w:t xml:space="preserve"> </w:t>
            </w:r>
          </w:p>
          <w:p>
            <w:pPr>
              <w:numPr>
                <w:ilvl w:val="0"/>
                <w:numId w:val="60"/>
              </w:numPr>
              <w:spacing w:before="0" w:after="46" w:line="240" w:lineRule="auto"/>
              <w:ind w:left="468" w:right="0" w:hanging="360"/>
            </w:pPr>
            <w:r>
              <w:rPr/>
              <w:t xml:space="preserve">Faster, more transparent results management is needed (TACCEO)</w:t>
            </w:r>
            <w:r>
              <w:rPr/>
              <w:t xml:space="preserve"> </w:t>
            </w:r>
          </w:p>
          <w:p>
            <w:pPr>
              <w:numPr>
                <w:ilvl w:val="0"/>
                <w:numId w:val="60"/>
              </w:numPr>
              <w:spacing w:before="0" w:after="48" w:line="238" w:lineRule="auto"/>
              <w:ind w:left="468" w:right="0" w:hanging="360"/>
            </w:pPr>
            <w:r>
              <w:rPr/>
              <w:t xml:space="preserve">NEC should undertake more voter education (SADC)</w:t>
            </w:r>
            <w:r>
              <w:rPr/>
              <w:t xml:space="preserve"> </w:t>
            </w:r>
          </w:p>
          <w:p>
            <w:pPr>
              <w:numPr>
                <w:ilvl w:val="0"/>
                <w:numId w:val="60"/>
              </w:numPr>
              <w:spacing w:before="0" w:after="45" w:line="240" w:lineRule="auto"/>
              <w:ind w:left="468" w:right="0" w:hanging="360"/>
            </w:pPr>
            <w:r>
              <w:rPr/>
              <w:t xml:space="preserve">Parties/leaders should adhere to a code of conduct (SADC)</w:t>
            </w:r>
            <w:r>
              <w:rPr/>
              <w:t xml:space="preserve"> </w:t>
            </w:r>
          </w:p>
          <w:p>
            <w:pPr>
              <w:numPr>
                <w:ilvl w:val="0"/>
                <w:numId w:val="60"/>
              </w:numPr>
              <w:spacing w:before="0" w:after="0" w:line="259" w:lineRule="auto"/>
              <w:ind w:left="468" w:right="0" w:hanging="360"/>
            </w:pPr>
            <w:r>
              <w:rPr/>
              <w:t xml:space="preserve">Police training in civics and human rights was a </w:t>
            </w:r>
          </w:p>
        </w:tc>
      </w:tr>
    </w:tbl>
    <w:p>
      <w:pPr>
        <w:spacing w:before="0" w:after="0" w:line="259" w:lineRule="auto"/>
        <w:ind w:left="-720" w:right="1538" w:firstLine="0"/>
        <w:jc w:val="left"/>
      </w:pPr>
    </w:p>
    <w:tbl>
      <w:tblPr>
        <w:tblStyle w:val="TableGrid"/>
        <w:tblW w:w="13970" w:type="dxa"/>
        <w:tblInd w:w="-108" w:type="dxa"/>
        <w:tblCellMar>
          <w:top w:w="23" w:type="dxa"/>
          <w:left w:w="0" w:type="dxa"/>
          <w:bottom w:w="0" w:type="dxa"/>
          <w:right w:w="58" w:type="dxa"/>
        </w:tblCellMar>
      </w:tblPr>
      <w:tblGrid>
        <w:gridCol w:w="468"/>
        <w:gridCol w:w="3780"/>
        <w:gridCol w:w="509"/>
        <w:gridCol w:w="4172"/>
        <w:gridCol w:w="468"/>
        <w:gridCol w:w="4573"/>
      </w:tblGrid>
      <w:tr>
        <w:trPr>
          <w:trHeight w:val="9273" w:hRule="atLeast"/>
        </w:trPr>
        <w:tc>
          <w:tcPr>
            <w:tcW w:w="468" w:type="dxa"/>
            <w:tcBorders>
              <w:top w:val="single" w:sz="4" w:color="000000"/>
              <w:left w:val="single" w:sz="4" w:color="000000"/>
              <w:bottom w:val="single" w:sz="4" w:color="000000"/>
              <w:right w:val="nil"/>
            </w:tcBorders>
            <w:vAlign w:val="top"/>
          </w:tcPr>
          <w:p>
            <w:pPr>
              <w:spacing w:before="0" w:after="263"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tc>
        <w:tc>
          <w:tcPr>
            <w:tcW w:w="3780" w:type="dxa"/>
            <w:tcBorders>
              <w:top w:val="single" w:sz="4" w:color="000000"/>
              <w:left w:val="nil"/>
              <w:bottom w:val="single" w:sz="4" w:color="000000"/>
              <w:right w:val="single" w:sz="4" w:color="000000"/>
            </w:tcBorders>
            <w:vAlign w:val="top"/>
          </w:tcPr>
          <w:p>
            <w:pPr>
              <w:spacing w:before="0" w:after="27" w:line="239" w:lineRule="auto"/>
              <w:ind w:left="0" w:right="0" w:firstLine="0"/>
            </w:pPr>
            <w:r>
              <w:rPr/>
              <w:t xml:space="preserve">Voter education should start earlier than in the past.</w:t>
            </w:r>
            <w:r>
              <w:rPr/>
              <w:t xml:space="preserve"> </w:t>
            </w:r>
          </w:p>
          <w:p>
            <w:pPr>
              <w:spacing w:before="0" w:after="12" w:line="239" w:lineRule="auto"/>
              <w:ind w:left="0" w:right="0" w:firstLine="0"/>
              <w:jc w:val="left"/>
            </w:pPr>
            <w:r>
              <w:rPr/>
              <w:t xml:space="preserve">Political 	Party 	support 	should</w:t>
            </w:r>
            <w:r>
              <w:rPr/>
              <w:t xml:space="preserve"> 	</w:t>
            </w:r>
            <w:r>
              <w:rPr/>
              <w:t xml:space="preserve">be available to all political parties. </w:t>
            </w:r>
            <w:r>
              <w:rPr/>
              <w:t xml:space="preserve"> </w:t>
            </w:r>
          </w:p>
          <w:p>
            <w:pPr>
              <w:spacing w:before="0" w:after="0" w:line="259" w:lineRule="auto"/>
              <w:ind w:left="0" w:right="49" w:firstLine="0"/>
            </w:pPr>
            <w:r>
              <w:rPr/>
              <w:t xml:space="preserve">Media training should include media house owners and editors.  Dedicated support is needed for Zanzibar partners.</w:t>
            </w:r>
            <w:r>
              <w:rPr/>
              <w:t xml:space="preserve"> </w:t>
            </w:r>
            <w:r>
              <w:rPr/>
              <w:t xml:space="preserve">Flexibility and space to respond to the unforeseen needs to be built into the project budget.</w:t>
            </w:r>
            <w:r>
              <w:rPr/>
              <w:t xml:space="preserve"> </w:t>
            </w:r>
          </w:p>
        </w:tc>
        <w:tc>
          <w:tcPr>
            <w:tcW w:w="509" w:type="dxa"/>
            <w:tcBorders>
              <w:top w:val="single" w:sz="4" w:color="000000"/>
              <w:left w:val="single" w:sz="4" w:color="000000"/>
              <w:bottom w:val="single" w:sz="4" w:color="000000"/>
              <w:right w:val="nil"/>
            </w:tcBorders>
            <w:vAlign w:val="center"/>
          </w:tcPr>
          <w:p>
            <w:pPr>
              <w:spacing w:before="0" w:after="80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1336"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532"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531"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260"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801"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1" w:right="0" w:firstLine="0"/>
              <w:jc w:val="center"/>
            </w:pPr>
            <w:r>
              <w:rPr>
                <w:rFonts w:cs="Segoe UI Symbol" w:hAnsi="Segoe UI Symbol" w:eastAsia="Segoe UI Symbol" w:ascii="Segoe UI Symbol"/>
              </w:rPr>
              <w:t xml:space="preserve"></w:t>
            </w:r>
            <w:r>
              <w:rPr>
                <w:rFonts w:cs="Arial" w:hAnsi="Arial" w:eastAsia="Arial" w:ascii="Arial"/>
              </w:rPr>
              <w:t xml:space="preserve"> </w:t>
            </w:r>
          </w:p>
        </w:tc>
        <w:tc>
          <w:tcPr>
            <w:tcW w:w="4172" w:type="dxa"/>
            <w:tcBorders>
              <w:top w:val="single" w:sz="4" w:color="000000"/>
              <w:left w:val="nil"/>
              <w:bottom w:val="single" w:sz="4" w:color="000000"/>
              <w:right w:val="single" w:sz="4" w:color="000000"/>
            </w:tcBorders>
            <w:vAlign w:val="top"/>
          </w:tcPr>
          <w:p>
            <w:pPr>
              <w:spacing w:before="0" w:after="0" w:line="259" w:lineRule="auto"/>
              <w:ind w:left="0" w:right="0" w:firstLine="0"/>
              <w:jc w:val="left"/>
            </w:pPr>
            <w:r>
              <w:rPr/>
              <w:t xml:space="preserve">intended</w:t>
            </w:r>
            <w:r>
              <w:rPr/>
              <w:t xml:space="preserve"> </w:t>
            </w:r>
          </w:p>
          <w:p>
            <w:pPr>
              <w:spacing w:before="0" w:after="12" w:line="239" w:lineRule="auto"/>
              <w:ind w:left="0" w:right="48" w:firstLine="0"/>
            </w:pPr>
            <w:r>
              <w:rPr/>
              <w:t xml:space="preserve">The management products for reporting were insufficient for a project of this scale and compressed timelines </w:t>
            </w:r>
            <w:r>
              <w:rPr/>
              <w:t xml:space="preserve">-</w:t>
            </w:r>
            <w:r>
              <w:rPr/>
              <w:t xml:space="preserve">Timelines for activities could be missed</w:t>
            </w:r>
            <w:r>
              <w:rPr/>
              <w:t xml:space="preserve"> </w:t>
            </w:r>
          </w:p>
          <w:p>
            <w:pPr>
              <w:spacing w:before="0" w:after="13" w:line="238" w:lineRule="auto"/>
              <w:ind w:left="0" w:right="49" w:firstLine="0"/>
            </w:pPr>
            <w:r>
              <w:rPr/>
              <w:t xml:space="preserve">EMB´s should be trained more thoroughly in procurement procedures and to write specifications</w:t>
            </w:r>
            <w:r>
              <w:rPr/>
              <w:t xml:space="preserve"> </w:t>
            </w:r>
          </w:p>
          <w:p>
            <w:pPr>
              <w:spacing w:before="0" w:after="0" w:line="259" w:lineRule="auto"/>
              <w:ind w:left="31" w:right="0" w:firstLine="0"/>
              <w:jc w:val="left"/>
            </w:pPr>
            <w:r>
              <w:rPr/>
              <w:t xml:space="preserve">Voter should have started earlier</w:t>
            </w:r>
            <w:r>
              <w:rPr/>
              <w:t xml:space="preserve"> </w:t>
            </w:r>
          </w:p>
          <w:p>
            <w:pPr>
              <w:spacing w:before="0" w:after="0" w:line="239" w:lineRule="auto"/>
              <w:ind w:left="31" w:right="159" w:firstLine="0"/>
            </w:pPr>
            <w:r>
              <w:rPr/>
              <w:t xml:space="preserve">Sensitization of political parties, community and religious leaders to gender issues should commence at least 3 months prior to internal nomination of candidates and at least 6 months before elections.</w:t>
            </w:r>
            <w:r>
              <w:rPr/>
              <w:t xml:space="preserve"> </w:t>
            </w:r>
          </w:p>
          <w:p>
            <w:pPr>
              <w:spacing w:before="0" w:after="0" w:line="259" w:lineRule="auto"/>
              <w:ind w:left="320" w:right="0" w:firstLine="0"/>
              <w:jc w:val="left"/>
            </w:pPr>
            <w:r>
              <w:rPr/>
              <w:t xml:space="preserve"> </w:t>
            </w:r>
          </w:p>
          <w:p>
            <w:pPr>
              <w:spacing w:before="0" w:after="0" w:line="243" w:lineRule="auto"/>
              <w:ind w:left="31" w:right="49" w:firstLine="0"/>
            </w:pPr>
            <w:r>
              <w:rPr/>
              <w:t xml:space="preserve">Constitution Commission accesses and draws on published and on line resources.</w:t>
            </w:r>
            <w:r>
              <w:rPr/>
              <w:t xml:space="preserve"> </w:t>
            </w:r>
            <w:r>
              <w:rPr/>
              <w:t xml:space="preserve">Technical support is successfully provided to the 2014 referenda.</w:t>
            </w:r>
            <w:r>
              <w:rPr/>
              <w:t xml:space="preserve"> </w:t>
            </w:r>
          </w:p>
          <w:p>
            <w:pPr>
              <w:spacing w:before="0" w:after="0" w:line="259" w:lineRule="auto"/>
              <w:ind w:left="320" w:right="0" w:firstLine="0"/>
              <w:jc w:val="left"/>
            </w:pPr>
            <w:r>
              <w:rPr/>
              <w:t xml:space="preserve"> </w:t>
            </w:r>
          </w:p>
          <w:p>
            <w:pPr>
              <w:spacing w:before="0" w:after="12" w:line="240" w:lineRule="auto"/>
              <w:ind w:left="31" w:right="158" w:firstLine="0"/>
            </w:pPr>
            <w:r>
              <w:rPr/>
              <w:t xml:space="preserve">Potential female candidates should be trained prior to embarking on their campaigns</w:t>
            </w:r>
            <w:r>
              <w:rPr/>
              <w:t xml:space="preserve"> </w:t>
            </w:r>
          </w:p>
          <w:p>
            <w:pPr>
              <w:spacing w:before="0" w:after="12" w:line="239" w:lineRule="auto"/>
              <w:ind w:left="31" w:right="157" w:firstLine="0"/>
            </w:pPr>
            <w:r>
              <w:rPr/>
              <w:t xml:space="preserve">Men should</w:t>
            </w:r>
            <w:r>
              <w:rPr/>
              <w:t xml:space="preserve"> </w:t>
            </w:r>
            <w:r>
              <w:rPr/>
              <w:t xml:space="preserve">also receive training on the importance of women´s political participation</w:t>
            </w:r>
            <w:r>
              <w:rPr/>
              <w:t xml:space="preserve"> </w:t>
            </w:r>
          </w:p>
          <w:p>
            <w:pPr>
              <w:spacing w:before="0" w:after="14" w:line="237" w:lineRule="auto"/>
              <w:ind w:left="31" w:right="0" w:firstLine="0"/>
            </w:pPr>
            <w:r>
              <w:rPr/>
              <w:t xml:space="preserve">Media code of conduct should contain enforcement measures</w:t>
            </w:r>
            <w:r>
              <w:rPr/>
              <w:t xml:space="preserve"> </w:t>
            </w:r>
          </w:p>
          <w:p>
            <w:pPr>
              <w:spacing w:before="0" w:after="13" w:line="239" w:lineRule="auto"/>
              <w:ind w:left="31" w:right="158" w:firstLine="0"/>
            </w:pPr>
            <w:r>
              <w:rPr/>
              <w:t xml:space="preserve">Training of media should be aimed at journalists and more higher management (owners and editors) who have authority over</w:t>
            </w:r>
            <w:r>
              <w:rPr/>
              <w:t xml:space="preserve"> </w:t>
            </w:r>
            <w:r>
              <w:rPr/>
              <w:t xml:space="preserve">the content</w:t>
            </w:r>
            <w:r>
              <w:rPr/>
              <w:t xml:space="preserve"> </w:t>
            </w:r>
          </w:p>
          <w:p>
            <w:pPr>
              <w:spacing w:before="0" w:after="0" w:line="259" w:lineRule="auto"/>
              <w:ind w:left="31" w:right="0" w:firstLine="0"/>
            </w:pPr>
            <w:r>
              <w:rPr/>
              <w:t xml:space="preserve">Contract for technical assistance should be signed earlier so that observers can </w:t>
            </w:r>
          </w:p>
        </w:tc>
        <w:tc>
          <w:tcPr>
            <w:tcW w:w="468" w:type="dxa"/>
            <w:tcBorders>
              <w:top w:val="single" w:sz="4" w:color="000000"/>
              <w:left w:val="single" w:sz="4" w:color="000000"/>
              <w:bottom w:val="single" w:sz="4" w:color="000000"/>
              <w:right w:val="nil"/>
            </w:tcBorders>
            <w:vAlign w:val="top"/>
          </w:tcPr>
          <w:p>
            <w:pPr>
              <w:spacing w:before="0" w:after="263"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31"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1"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529"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262"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p>
            <w:pPr>
              <w:spacing w:before="0" w:after="0" w:line="259" w:lineRule="auto"/>
              <w:ind w:left="108" w:right="0" w:firstLine="0"/>
              <w:jc w:val="left"/>
            </w:pPr>
            <w:r>
              <w:rPr>
                <w:rFonts w:cs="Segoe UI Symbol" w:hAnsi="Segoe UI Symbol" w:eastAsia="Segoe UI Symbol" w:ascii="Segoe UI Symbol"/>
              </w:rPr>
              <w:t xml:space="preserve"></w:t>
            </w:r>
            <w:r>
              <w:rPr>
                <w:rFonts w:cs="Arial" w:hAnsi="Arial" w:eastAsia="Arial" w:ascii="Arial"/>
              </w:rPr>
              <w:t xml:space="preserve"> </w:t>
            </w:r>
          </w:p>
        </w:tc>
        <w:tc>
          <w:tcPr>
            <w:tcW w:w="4573" w:type="dxa"/>
            <w:tcBorders>
              <w:top w:val="single" w:sz="4" w:color="000000"/>
              <w:left w:val="nil"/>
              <w:bottom w:val="single" w:sz="4" w:color="000000"/>
              <w:right w:val="single" w:sz="4" w:color="000000"/>
            </w:tcBorders>
            <w:vAlign w:val="top"/>
          </w:tcPr>
          <w:p>
            <w:pPr>
              <w:spacing w:before="0" w:after="0" w:line="259" w:lineRule="auto"/>
              <w:ind w:left="0" w:right="0" w:firstLine="0"/>
              <w:jc w:val="left"/>
            </w:pPr>
            <w:r>
              <w:rPr/>
              <w:t xml:space="preserve">best practice (SADC)</w:t>
            </w:r>
            <w:r>
              <w:rPr/>
              <w:t xml:space="preserve"> </w:t>
            </w:r>
          </w:p>
          <w:p>
            <w:pPr>
              <w:spacing w:before="0" w:after="12" w:line="240" w:lineRule="auto"/>
              <w:ind w:left="0" w:right="0" w:firstLine="0"/>
            </w:pPr>
            <w:r>
              <w:rPr/>
              <w:t xml:space="preserve">The sms mobile phone system, to check voting information was a best practice (SADC)</w:t>
            </w:r>
            <w:r>
              <w:rPr/>
              <w:t xml:space="preserve"> </w:t>
            </w:r>
          </w:p>
          <w:p>
            <w:pPr>
              <w:spacing w:before="0" w:after="10" w:line="239" w:lineRule="auto"/>
              <w:ind w:left="0" w:right="0" w:firstLine="0"/>
            </w:pPr>
            <w:r>
              <w:rPr/>
              <w:t xml:space="preserve">The Election Expenses Act is a best practice (SADC, also Commonwealth).</w:t>
            </w:r>
            <w:r>
              <w:rPr/>
              <w:t xml:space="preserve"> </w:t>
            </w:r>
          </w:p>
          <w:p>
            <w:pPr>
              <w:spacing w:before="0" w:after="9" w:line="242" w:lineRule="auto"/>
              <w:ind w:left="0" w:right="48" w:firstLine="0"/>
            </w:pPr>
            <w:r>
              <w:rPr/>
              <w:t xml:space="preserve">NEC could be faster and more transparent in releasing election results (Commonwealth)</w:t>
            </w:r>
            <w:r>
              <w:rPr/>
              <w:t xml:space="preserve"> </w:t>
            </w:r>
            <w:r>
              <w:rPr/>
              <w:t xml:space="preserve">ZEC (Zanzibar) recruitment and training of staff for election field needs, rather than NEC use of State officials, is a best practice (Commonwealth)</w:t>
            </w:r>
            <w:r>
              <w:rPr/>
              <w:t xml:space="preserve"> </w:t>
            </w:r>
          </w:p>
          <w:p>
            <w:pPr>
              <w:spacing w:before="0" w:after="15" w:line="237" w:lineRule="auto"/>
              <w:ind w:left="0" w:right="0" w:firstLine="0"/>
            </w:pPr>
            <w:r>
              <w:rPr/>
              <w:t xml:space="preserve">Enhance voter education for greater participation (African Union)</w:t>
            </w:r>
            <w:r>
              <w:rPr/>
              <w:t xml:space="preserve"> </w:t>
            </w:r>
          </w:p>
          <w:p>
            <w:pPr>
              <w:spacing w:before="0" w:after="12" w:line="239" w:lineRule="auto"/>
              <w:ind w:left="0" w:right="0" w:firstLine="0"/>
            </w:pPr>
            <w:r>
              <w:rPr/>
              <w:t xml:space="preserve">Greater participation of all political parties/ party agents through law reform (African Union)</w:t>
            </w:r>
            <w:r>
              <w:rPr/>
              <w:t xml:space="preserve"> </w:t>
            </w:r>
          </w:p>
          <w:p>
            <w:pPr>
              <w:spacing w:before="0" w:after="12" w:line="239" w:lineRule="auto"/>
              <w:ind w:left="0" w:right="0" w:firstLine="0"/>
            </w:pPr>
            <w:r>
              <w:rPr/>
              <w:t xml:space="preserve">NEC and ZEC should have detailed election calendars (EU)</w:t>
            </w:r>
            <w:r>
              <w:rPr/>
              <w:t xml:space="preserve"> </w:t>
            </w:r>
          </w:p>
          <w:p>
            <w:pPr>
              <w:spacing w:before="0" w:after="13" w:line="238" w:lineRule="auto"/>
              <w:ind w:left="0" w:right="49" w:firstLine="0"/>
            </w:pPr>
            <w:r>
              <w:rPr/>
              <w:t xml:space="preserve">NEC and ZEC should have more information available on web site and other sources for the public (EU)</w:t>
            </w:r>
            <w:r>
              <w:rPr/>
              <w:t xml:space="preserve"> </w:t>
            </w:r>
          </w:p>
          <w:p>
            <w:pPr>
              <w:spacing w:before="0" w:after="12" w:line="239" w:lineRule="auto"/>
              <w:ind w:left="0" w:right="0" w:firstLine="0"/>
            </w:pPr>
            <w:r>
              <w:rPr/>
              <w:t xml:space="preserve">More transparency in results management would build confidence in elections (EU)</w:t>
            </w:r>
            <w:r>
              <w:rPr/>
              <w:t xml:space="preserve"> </w:t>
            </w:r>
          </w:p>
          <w:p>
            <w:pPr>
              <w:spacing w:before="0" w:after="0" w:line="240" w:lineRule="auto"/>
              <w:ind w:left="0" w:right="0" w:firstLine="0"/>
            </w:pPr>
            <w:r>
              <w:rPr/>
              <w:t xml:space="preserve">Skills training for the media, including editors, managers and regional journalists (EU)</w:t>
            </w:r>
            <w:r>
              <w:rPr/>
              <w:t xml:space="preserve"> </w:t>
            </w:r>
          </w:p>
          <w:p>
            <w:pPr>
              <w:spacing w:before="0" w:after="0" w:line="259" w:lineRule="auto"/>
              <w:ind w:left="360" w:right="0" w:firstLine="0"/>
              <w:jc w:val="left"/>
            </w:pPr>
            <w:r>
              <w:rPr/>
              <w:t xml:space="preserve"> </w:t>
            </w:r>
          </w:p>
          <w:p>
            <w:pPr>
              <w:spacing w:before="0" w:after="0" w:line="259" w:lineRule="auto"/>
              <w:ind w:left="360" w:right="0" w:firstLine="0"/>
              <w:jc w:val="left"/>
            </w:pPr>
            <w:r>
              <w:rPr/>
              <w:t xml:space="preserve"> </w:t>
            </w:r>
          </w:p>
        </w:tc>
      </w:tr>
    </w:tbl>
    <w:tbl>
      <w:tblPr>
        <w:tblStyle w:val="TableGrid"/>
        <w:tblW w:w="13970" w:type="dxa"/>
        <w:tblInd w:w="-108" w:type="dxa"/>
        <w:tblCellMar>
          <w:top w:w="23" w:type="dxa"/>
          <w:left w:w="0" w:type="dxa"/>
          <w:bottom w:w="0" w:type="dxa"/>
          <w:right w:w="58" w:type="dxa"/>
        </w:tblCellMar>
      </w:tblPr>
      <w:tblGrid>
        <w:gridCol w:w="4248"/>
        <w:gridCol w:w="540"/>
        <w:gridCol w:w="4141"/>
        <w:gridCol w:w="5041"/>
      </w:tblGrid>
      <w:tr>
        <w:trPr>
          <w:trHeight w:val="298" w:hRule="atLeast"/>
        </w:trPr>
        <w:tc>
          <w:tcPr>
            <w:tcW w:w="4248" w:type="dxa"/>
            <w:tcBorders>
              <w:top w:val="single" w:sz="4" w:color="000000"/>
              <w:left w:val="single" w:sz="4" w:color="000000"/>
              <w:bottom w:val="nil"/>
              <w:right w:val="single" w:sz="4" w:color="000000"/>
            </w:tcBorders>
            <w:vAlign w:val="top"/>
          </w:tcPr>
          <w:p>
            <w:pPr>
              <w:bidi w:val="0"/>
              <w:spacing w:before="0" w:after="160" w:line="259" w:lineRule="auto"/>
              <w:ind w:left="0" w:right="0" w:firstLine="0"/>
              <w:jc w:val="left"/>
            </w:pPr>
          </w:p>
        </w:tc>
        <w:tc>
          <w:tcPr>
            <w:tcW w:w="540" w:type="dxa"/>
            <w:tcBorders>
              <w:top w:val="single" w:sz="4" w:color="000000"/>
              <w:left w:val="single" w:sz="4" w:color="000000"/>
              <w:bottom w:val="nil"/>
              <w:right w:val="nil"/>
            </w:tcBorders>
            <w:vAlign w:val="top"/>
          </w:tcPr>
          <w:p>
            <w:pPr>
              <w:bidi w:val="0"/>
              <w:spacing w:before="0" w:after="160" w:line="259" w:lineRule="auto"/>
              <w:ind w:left="0" w:right="0" w:firstLine="0"/>
              <w:jc w:val="left"/>
            </w:pPr>
          </w:p>
        </w:tc>
        <w:tc>
          <w:tcPr>
            <w:tcW w:w="4141" w:type="dxa"/>
            <w:tcBorders>
              <w:top w:val="single" w:sz="4" w:color="000000"/>
              <w:left w:val="nil"/>
              <w:bottom w:val="nil"/>
              <w:right w:val="single" w:sz="4" w:color="000000"/>
            </w:tcBorders>
            <w:vAlign w:val="top"/>
          </w:tcPr>
          <w:p>
            <w:pPr>
              <w:spacing w:before="0" w:after="0" w:line="259" w:lineRule="auto"/>
              <w:ind w:left="0" w:right="0" w:firstLine="0"/>
              <w:jc w:val="left"/>
            </w:pPr>
            <w:r>
              <w:rPr/>
              <w:t xml:space="preserve">observe the whole process</w:t>
            </w:r>
            <w:r>
              <w:rPr/>
              <w:t xml:space="preserve"> </w:t>
            </w:r>
          </w:p>
        </w:tc>
        <w:tc>
          <w:tcPr>
            <w:tcW w:w="5041" w:type="dxa"/>
            <w:tcBorders>
              <w:top w:val="single" w:sz="4" w:color="000000"/>
              <w:left w:val="single" w:sz="4" w:color="000000"/>
              <w:bottom w:val="nil"/>
              <w:right w:val="single" w:sz="4" w:color="000000"/>
            </w:tcBorders>
            <w:vAlign w:val="top"/>
          </w:tcPr>
          <w:p>
            <w:pPr>
              <w:bidi w:val="0"/>
              <w:spacing w:before="0" w:after="160" w:line="259" w:lineRule="auto"/>
              <w:ind w:left="0" w:right="0" w:firstLine="0"/>
              <w:jc w:val="left"/>
            </w:pPr>
          </w:p>
        </w:tc>
      </w:tr>
      <w:tr>
        <w:trPr>
          <w:trHeight w:val="819" w:hRule="atLeast"/>
        </w:trPr>
        <w:tc>
          <w:tcPr>
            <w:tcW w:w="4248" w:type="dxa"/>
            <w:tcBorders>
              <w:top w:val="nil"/>
              <w:left w:val="single" w:sz="4" w:color="000000"/>
              <w:bottom w:val="nil"/>
              <w:right w:val="single" w:sz="4" w:color="000000"/>
            </w:tcBorders>
            <w:vAlign w:val="top"/>
          </w:tcPr>
          <w:p>
            <w:pPr>
              <w:bidi w:val="0"/>
              <w:spacing w:before="0" w:after="160" w:line="259" w:lineRule="auto"/>
              <w:ind w:left="0" w:right="0" w:firstLine="0"/>
              <w:jc w:val="left"/>
            </w:pPr>
          </w:p>
        </w:tc>
        <w:tc>
          <w:tcPr>
            <w:tcW w:w="540" w:type="dxa"/>
            <w:tcBorders>
              <w:top w:val="nil"/>
              <w:left w:val="single" w:sz="4" w:color="000000"/>
              <w:bottom w:val="nil"/>
              <w:right w:val="nil"/>
            </w:tcBorders>
            <w:vAlign w:val="top"/>
          </w:tcPr>
          <w:p>
            <w:pPr>
              <w:spacing w:before="0" w:after="0" w:line="259" w:lineRule="auto"/>
              <w:ind w:left="0" w:right="18" w:firstLine="0"/>
              <w:jc w:val="center"/>
            </w:pPr>
            <w:r>
              <w:rPr>
                <w:rFonts w:cs="Segoe UI Symbol" w:hAnsi="Segoe UI Symbol" w:eastAsia="Segoe UI Symbol" w:ascii="Segoe UI Symbol"/>
              </w:rPr>
              <w:t xml:space="preserve"></w:t>
            </w:r>
            <w:r>
              <w:rPr>
                <w:rFonts w:cs="Arial" w:hAnsi="Arial" w:eastAsia="Arial" w:ascii="Arial"/>
              </w:rPr>
              <w:t xml:space="preserve"> </w:t>
            </w:r>
          </w:p>
        </w:tc>
        <w:tc>
          <w:tcPr>
            <w:tcW w:w="4141" w:type="dxa"/>
            <w:tcBorders>
              <w:top w:val="nil"/>
              <w:left w:val="nil"/>
              <w:bottom w:val="nil"/>
              <w:right w:val="single" w:sz="4" w:color="000000"/>
            </w:tcBorders>
            <w:vAlign w:val="top"/>
          </w:tcPr>
          <w:p>
            <w:pPr>
              <w:spacing w:before="0" w:after="0" w:line="259" w:lineRule="auto"/>
              <w:ind w:left="0" w:right="155" w:firstLine="0"/>
            </w:pPr>
            <w:r>
              <w:rPr/>
              <w:t xml:space="preserve">EMBs should be more transparent when dealing with domestic and international observers</w:t>
            </w:r>
            <w:r>
              <w:rPr/>
              <w:t xml:space="preserve"> </w:t>
            </w:r>
          </w:p>
        </w:tc>
        <w:tc>
          <w:tcPr>
            <w:tcW w:w="5041" w:type="dxa"/>
            <w:tcBorders>
              <w:top w:val="nil"/>
              <w:left w:val="single" w:sz="4" w:color="000000"/>
              <w:bottom w:val="nil"/>
              <w:right w:val="single" w:sz="4" w:color="000000"/>
            </w:tcBorders>
            <w:vAlign w:val="top"/>
          </w:tcPr>
          <w:p>
            <w:pPr>
              <w:bidi w:val="0"/>
              <w:spacing w:before="0" w:after="160" w:line="259" w:lineRule="auto"/>
              <w:ind w:left="0" w:right="0" w:firstLine="0"/>
              <w:jc w:val="left"/>
            </w:pPr>
          </w:p>
        </w:tc>
      </w:tr>
      <w:tr>
        <w:trPr>
          <w:trHeight w:val="527" w:hRule="atLeast"/>
        </w:trPr>
        <w:tc>
          <w:tcPr>
            <w:tcW w:w="4248" w:type="dxa"/>
            <w:tcBorders>
              <w:top w:val="nil"/>
              <w:left w:val="single" w:sz="4" w:color="000000"/>
              <w:bottom w:val="single" w:sz="4" w:color="000000"/>
              <w:right w:val="single" w:sz="4" w:color="000000"/>
            </w:tcBorders>
            <w:vAlign w:val="top"/>
          </w:tcPr>
          <w:p>
            <w:pPr>
              <w:bidi w:val="0"/>
              <w:spacing w:before="0" w:after="160" w:line="259" w:lineRule="auto"/>
              <w:ind w:left="0" w:right="0" w:firstLine="0"/>
              <w:jc w:val="left"/>
            </w:pPr>
          </w:p>
        </w:tc>
        <w:tc>
          <w:tcPr>
            <w:tcW w:w="540" w:type="dxa"/>
            <w:tcBorders>
              <w:top w:val="nil"/>
              <w:left w:val="single" w:sz="4" w:color="000000"/>
              <w:bottom w:val="single" w:sz="4" w:color="000000"/>
              <w:right w:val="nil"/>
            </w:tcBorders>
            <w:vAlign w:val="top"/>
          </w:tcPr>
          <w:p>
            <w:pPr>
              <w:spacing w:before="0" w:after="0" w:line="259" w:lineRule="auto"/>
              <w:ind w:left="0" w:right="18" w:firstLine="0"/>
              <w:jc w:val="center"/>
            </w:pPr>
            <w:r>
              <w:rPr>
                <w:rFonts w:cs="Segoe UI Symbol" w:hAnsi="Segoe UI Symbol" w:eastAsia="Segoe UI Symbol" w:ascii="Segoe UI Symbol"/>
              </w:rPr>
              <w:t xml:space="preserve"></w:t>
            </w:r>
            <w:r>
              <w:rPr>
                <w:rFonts w:cs="Arial" w:hAnsi="Arial" w:eastAsia="Arial" w:ascii="Arial"/>
              </w:rPr>
              <w:t xml:space="preserve"> </w:t>
            </w:r>
          </w:p>
        </w:tc>
        <w:tc>
          <w:tcPr>
            <w:tcW w:w="4141" w:type="dxa"/>
            <w:tcBorders>
              <w:top w:val="nil"/>
              <w:left w:val="nil"/>
              <w:bottom w:val="single" w:sz="4" w:color="000000"/>
              <w:right w:val="single" w:sz="4" w:color="000000"/>
            </w:tcBorders>
            <w:vAlign w:val="top"/>
          </w:tcPr>
          <w:p>
            <w:pPr>
              <w:spacing w:before="0" w:after="0" w:line="237" w:lineRule="auto"/>
              <w:ind w:left="0" w:right="0" w:firstLine="0"/>
            </w:pPr>
            <w:r>
              <w:rPr/>
              <w:t xml:space="preserve">Dialogue on peaceful elections should continue</w:t>
            </w:r>
            <w:r>
              <w:rPr/>
              <w:t xml:space="preserve"> </w:t>
            </w:r>
            <w:r>
              <w:rPr/>
              <w:t xml:space="preserve">throughout the electoral cycle</w:t>
            </w:r>
            <w:r>
              <w:rPr/>
              <w:t xml:space="preserve"> </w:t>
            </w:r>
          </w:p>
          <w:p>
            <w:pPr>
              <w:spacing w:before="0" w:after="0" w:line="259" w:lineRule="auto"/>
              <w:ind w:left="289" w:right="0" w:firstLine="0"/>
              <w:jc w:val="left"/>
            </w:pPr>
            <w:r>
              <w:rPr>
                <w:sz w:val="1"/>
              </w:rPr>
              <w:t xml:space="preserve"> </w:t>
            </w:r>
          </w:p>
        </w:tc>
        <w:tc>
          <w:tcPr>
            <w:tcW w:w="5041" w:type="dxa"/>
            <w:tcBorders>
              <w:top w:val="nil"/>
              <w:left w:val="single" w:sz="4" w:color="000000"/>
              <w:bottom w:val="single" w:sz="4" w:color="000000"/>
              <w:right w:val="single" w:sz="4" w:color="000000"/>
            </w:tcBorders>
            <w:vAlign w:val="top"/>
          </w:tcPr>
          <w:p>
            <w:pPr>
              <w:bidi w:val="0"/>
              <w:spacing w:before="0" w:after="160" w:line="259" w:lineRule="auto"/>
              <w:ind w:left="0" w:right="0" w:firstLine="0"/>
              <w:jc w:val="left"/>
            </w:pPr>
          </w:p>
        </w:tc>
      </w:tr>
      <w:tr>
        <w:trPr>
          <w:trHeight w:val="2161" w:hRule="atLeast"/>
        </w:trPr>
        <w:tc>
          <w:tcPr>
            <w:tcW w:w="4248" w:type="dxa"/>
            <w:tcBorders>
              <w:top w:val="single" w:sz="4" w:color="000000"/>
              <w:left w:val="single" w:sz="4" w:color="000000"/>
              <w:bottom w:val="single" w:sz="4" w:color="000000"/>
              <w:right w:val="single" w:sz="4" w:color="000000"/>
            </w:tcBorders>
            <w:vAlign w:val="top"/>
          </w:tcPr>
          <w:p>
            <w:pPr>
              <w:spacing w:before="0" w:after="0" w:line="259" w:lineRule="auto"/>
              <w:ind w:left="828" w:right="0" w:firstLine="0"/>
              <w:jc w:val="left"/>
            </w:pPr>
            <w:r>
              <w:rPr/>
              <w:t xml:space="preserve"> </w:t>
            </w:r>
          </w:p>
        </w:tc>
        <w:tc>
          <w:tcPr>
            <w:tcW w:w="540" w:type="dxa"/>
            <w:tcBorders>
              <w:top w:val="single" w:sz="4" w:color="000000"/>
              <w:left w:val="single" w:sz="4" w:color="000000"/>
              <w:bottom w:val="single" w:sz="4" w:color="000000"/>
              <w:right w:val="nil"/>
            </w:tcBorders>
            <w:vAlign w:val="top"/>
          </w:tcPr>
          <w:p>
            <w:pPr>
              <w:bidi w:val="0"/>
              <w:spacing w:before="0" w:after="160" w:line="259" w:lineRule="auto"/>
              <w:ind w:left="0" w:right="0" w:firstLine="0"/>
              <w:jc w:val="left"/>
            </w:pPr>
          </w:p>
        </w:tc>
        <w:tc>
          <w:tcPr>
            <w:tcW w:w="4141" w:type="dxa"/>
            <w:tcBorders>
              <w:top w:val="single" w:sz="4" w:color="000000"/>
              <w:left w:val="nil"/>
              <w:bottom w:val="single" w:sz="4" w:color="000000"/>
              <w:right w:val="single" w:sz="4" w:color="000000"/>
            </w:tcBorders>
            <w:vAlign w:val="top"/>
          </w:tcPr>
          <w:p>
            <w:pPr>
              <w:spacing w:before="0" w:after="0" w:line="259" w:lineRule="auto"/>
              <w:ind w:left="289" w:right="0" w:firstLine="0"/>
              <w:jc w:val="left"/>
            </w:pPr>
            <w:r>
              <w:rPr/>
              <w:t xml:space="preserve"> </w:t>
            </w:r>
          </w:p>
        </w:tc>
        <w:tc>
          <w:tcPr>
            <w:tcW w:w="5041" w:type="dxa"/>
            <w:tcBorders>
              <w:top w:val="single" w:sz="4" w:color="000000"/>
              <w:left w:val="single" w:sz="4" w:color="000000"/>
              <w:bottom w:val="single" w:sz="4" w:color="000000"/>
              <w:right w:val="single" w:sz="4" w:color="000000"/>
            </w:tcBorders>
            <w:vAlign w:val="top"/>
          </w:tcPr>
          <w:p>
            <w:pPr>
              <w:spacing w:before="0" w:after="0" w:line="239" w:lineRule="auto"/>
              <w:ind w:left="108" w:right="47" w:firstLine="0"/>
            </w:pPr>
            <w:r>
              <w:rPr/>
              <w:t xml:space="preserve">These recommendations and lessons learned very much</w:t>
            </w:r>
            <w:r>
              <w:rPr/>
              <w:t xml:space="preserve"> </w:t>
            </w:r>
            <w:r>
              <w:rPr/>
              <w:t xml:space="preserve">inform the project for the whole election cycle to ensure that election environment and other democratic development needs and requests are supported and to ensure the clearly necessary lead time and activities to effectively support the 2015 general election.</w:t>
            </w:r>
            <w:r>
              <w:rPr/>
              <w:t xml:space="preserve"> </w:t>
            </w:r>
          </w:p>
          <w:p>
            <w:pPr>
              <w:spacing w:before="0" w:after="0" w:line="259" w:lineRule="auto"/>
              <w:ind w:left="828" w:right="0" w:firstLine="0"/>
              <w:jc w:val="left"/>
            </w:pPr>
            <w:r>
              <w:rPr/>
              <w:t xml:space="preserve"> </w:t>
            </w:r>
          </w:p>
        </w:tc>
      </w:tr>
    </w:tbl>
    <w:p>
      <w:pPr>
        <w:spacing w:before="0" w:after="0" w:line="259" w:lineRule="auto"/>
        <w:ind w:left="720" w:right="0" w:firstLine="0"/>
        <w:jc w:val="left"/>
      </w:pPr>
      <w:r>
        <w:rPr/>
        <w:t xml:space="preserve"> </w:t>
      </w:r>
    </w:p>
    <w:p>
      <w:pPr>
        <w:spacing w:before="0" w:after="53" w:line="259" w:lineRule="auto"/>
        <w:ind w:left="0" w:right="0" w:firstLine="0"/>
        <w:jc w:val="left"/>
      </w:pPr>
      <w:r>
        <w:rPr>
          <w:rFonts w:cs="Garamond" w:hAnsi="Garamond" w:eastAsia="Garamond" w:ascii="Garamond"/>
        </w:rPr>
        <w:t xml:space="preserve">      </w:t>
      </w:r>
      <w:r>
        <w:rPr/>
        <w:t xml:space="preserve"> </w:t>
      </w:r>
    </w:p>
    <w:p>
      <w:pPr>
        <w:spacing w:before="0" w:after="0" w:line="259" w:lineRule="auto"/>
        <w:ind w:left="0" w:right="0" w:firstLine="0"/>
        <w:jc w:val="left"/>
      </w:pPr>
      <w:r>
        <w:rPr/>
        <w:t xml:space="preserve"> 	 </w:t>
      </w:r>
    </w:p>
    <w:p>
      <w:pPr>
        <w:spacing w:before="0" w:after="0" w:line="259" w:lineRule="auto"/>
        <w:ind w:left="0" w:right="7290" w:firstLine="0"/>
        <w:jc w:val="right"/>
      </w:pPr>
      <w:r>
        <w:rPr/>
        <w:t xml:space="preserve"> </w:t>
      </w:r>
    </w:p>
    <w:p>
      <w:pPr>
        <w:sectPr>
          <w:headerReference w:type="even" r:id="rId47"/>
          <w:headerReference w:type="default" r:id="rId45"/>
          <w:headerReference w:type="first" r:id="rId43"/>
          <w:footerReference w:type="even" r:id="rId48"/>
          <w:footerReference w:type="default" r:id="rId46"/>
          <w:footerReference w:type="first" r:id="rId44"/>
          <w:pgSz w:w="16838" w:h="11906" w:orient="landscape"/>
          <w:pgMar w:footer="717" w:left="720" w:top="725" w:right="718" w:bottom="1908"/>
          <w:pgNumType w:start="70" w:fmt="decimal"/>
          <w:cols/>
        </w:sectPr>
      </w:pPr>
    </w:p>
    <w:p>
      <w:pPr>
        <w:spacing w:before="0" w:after="0" w:line="259" w:lineRule="auto"/>
        <w:ind w:left="3335" w:right="0" w:firstLine="0"/>
        <w:jc w:val="left"/>
      </w:pPr>
      <w:r>
        <w:rPr>
          <w:rFonts w:cs="Calibri" w:hAnsi="Calibri" w:eastAsia="Calibri" w:ascii="Calibri"/>
          <w:sz w:val="19"/>
        </w:rPr>
        <w:t xml:space="preserve">DEMOCRATIC*EMPOWERMENT*PROJECT*WORK*PLAN*BUDGET*2013*8*2014</w:t>
      </w:r>
    </w:p>
    <w:tbl>
      <w:tblPr>
        <w:tblStyle w:val="TableGrid"/>
        <w:tblW w:w="13074" w:type="dxa"/>
        <w:tblInd w:w="-554" w:type="dxa"/>
        <w:tblCellMar>
          <w:top w:w="0" w:type="dxa"/>
          <w:left w:w="0" w:type="dxa"/>
          <w:bottom w:w="11" w:type="dxa"/>
          <w:right w:w="22" w:type="dxa"/>
        </w:tblCellMar>
      </w:tblPr>
      <w:tblGrid>
        <w:gridCol w:w="5431"/>
        <w:gridCol w:w="3263"/>
        <w:gridCol w:w="1033"/>
        <w:gridCol w:w="1065"/>
        <w:gridCol w:w="118"/>
        <w:gridCol w:w="1277"/>
        <w:gridCol w:w="887"/>
      </w:tblGrid>
      <w:tr>
        <w:trPr>
          <w:trHeight w:val="268" w:hRule="atLeast"/>
        </w:trPr>
        <w:tc>
          <w:tcPr>
            <w:tcW w:w="8694" w:type="dxa"/>
            <w:gridSpan w:val="2"/>
            <w:tcBorders>
              <w:top w:val="nil"/>
              <w:left w:val="nil"/>
              <w:bottom w:val="nil"/>
              <w:right w:val="nil"/>
            </w:tcBorders>
            <w:shd w:val="clear" w:fill="eaf1dd"/>
            <w:vAlign w:val="top"/>
          </w:tcPr>
          <w:p>
            <w:pPr>
              <w:spacing w:before="0" w:after="0" w:line="259" w:lineRule="auto"/>
              <w:ind w:left="32" w:right="0" w:firstLine="0"/>
              <w:jc w:val="left"/>
            </w:pPr>
            <w:r>
              <w:rPr>
                <w:rFonts w:cs="Calibri" w:hAnsi="Calibri" w:eastAsia="Calibri" w:ascii="Calibri"/>
                <w:b w:val="1"/>
                <w:sz w:val="19"/>
              </w:rPr>
              <w:t xml:space="preserve">7COMPONENT71:7SUPPORT7FOR7LEGAL7AND7INSTITUTIONAL7REFORM7FOR7CREDIBLE7ELECTIONS77</w:t>
            </w:r>
          </w:p>
        </w:tc>
        <w:tc>
          <w:tcPr>
            <w:tcW w:w="1033" w:type="dxa"/>
            <w:tcBorders>
              <w:top w:val="nil"/>
              <w:left w:val="nil"/>
              <w:bottom w:val="nil"/>
              <w:right w:val="nil"/>
            </w:tcBorders>
            <w:shd w:val="clear" w:fill="eaf1dd"/>
            <w:vAlign w:val="center"/>
          </w:tcPr>
          <w:p>
            <w:pPr>
              <w:bidi w:val="0"/>
              <w:spacing w:before="0" w:after="160" w:line="259" w:lineRule="auto"/>
              <w:ind w:left="0" w:right="0" w:firstLine="0"/>
              <w:jc w:val="left"/>
            </w:pPr>
          </w:p>
        </w:tc>
        <w:tc>
          <w:tcPr>
            <w:tcW w:w="1065" w:type="dxa"/>
            <w:tcBorders>
              <w:top w:val="nil"/>
              <w:left w:val="nil"/>
              <w:bottom w:val="nil"/>
              <w:right w:val="nil"/>
            </w:tcBorders>
            <w:shd w:val="clear" w:fill="eaf1dd"/>
            <w:vAlign w:val="top"/>
          </w:tcPr>
          <w:p>
            <w:pPr>
              <w:bidi w:val="0"/>
              <w:spacing w:before="0" w:after="160" w:line="259" w:lineRule="auto"/>
              <w:ind w:left="0" w:right="0" w:firstLine="0"/>
              <w:jc w:val="left"/>
            </w:pPr>
          </w:p>
        </w:tc>
        <w:tc>
          <w:tcPr>
            <w:tcW w:w="1394" w:type="dxa"/>
            <w:gridSpan w:val="2"/>
            <w:tcBorders>
              <w:top w:val="nil"/>
              <w:left w:val="nil"/>
              <w:bottom w:val="nil"/>
              <w:right w:val="nil"/>
            </w:tcBorders>
            <w:shd w:val="clear" w:fill="eaf1dd"/>
            <w:vAlign w:val="top"/>
          </w:tcPr>
          <w:p>
            <w:pPr>
              <w:bidi w:val="0"/>
              <w:spacing w:before="0" w:after="160" w:line="259" w:lineRule="auto"/>
              <w:ind w:left="0" w:right="0" w:firstLine="0"/>
              <w:jc w:val="left"/>
            </w:pPr>
          </w:p>
        </w:tc>
        <w:tc>
          <w:tcPr>
            <w:tcW w:w="887" w:type="dxa"/>
            <w:tcBorders>
              <w:top w:val="nil"/>
              <w:left w:val="nil"/>
              <w:bottom w:val="nil"/>
              <w:right w:val="nil"/>
            </w:tcBorders>
            <w:shd w:val="clear" w:fill="eaf1dd"/>
            <w:vAlign w:val="top"/>
          </w:tcPr>
          <w:p>
            <w:pPr>
              <w:bidi w:val="0"/>
              <w:spacing w:before="0" w:after="160" w:line="259" w:lineRule="auto"/>
              <w:ind w:left="0" w:right="0" w:firstLine="0"/>
              <w:jc w:val="left"/>
            </w:pPr>
          </w:p>
        </w:tc>
      </w:tr>
      <w:tr>
        <w:trPr>
          <w:trHeight w:val="93" w:hRule="atLeast"/>
        </w:trPr>
        <w:tc>
          <w:tcPr>
            <w:tcW w:w="8694" w:type="dxa"/>
            <w:gridSpan w:val="2"/>
            <w:tcBorders>
              <w:top w:val="nil"/>
              <w:left w:val="nil"/>
              <w:bottom w:val="nil"/>
              <w:right w:val="nil"/>
            </w:tcBorders>
            <w:vAlign w:val="top"/>
          </w:tcPr>
          <w:p>
            <w:pPr>
              <w:bidi w:val="0"/>
              <w:spacing w:before="0" w:after="160" w:line="259" w:lineRule="auto"/>
              <w:ind w:left="0" w:right="0" w:firstLine="0"/>
              <w:jc w:val="left"/>
            </w:pPr>
          </w:p>
        </w:tc>
        <w:tc>
          <w:tcPr>
            <w:tcW w:w="1033" w:type="dxa"/>
            <w:tcBorders>
              <w:top w:val="nil"/>
              <w:left w:val="nil"/>
              <w:bottom w:val="nil"/>
              <w:right w:val="nil"/>
            </w:tcBorders>
            <w:vAlign w:val="top"/>
          </w:tcPr>
          <w:p>
            <w:pPr>
              <w:bidi w:val="0"/>
              <w:spacing w:before="0" w:after="160" w:line="259" w:lineRule="auto"/>
              <w:ind w:left="0" w:right="0" w:firstLine="0"/>
              <w:jc w:val="left"/>
            </w:pPr>
          </w:p>
        </w:tc>
        <w:tc>
          <w:tcPr>
            <w:tcW w:w="1065" w:type="dxa"/>
            <w:tcBorders>
              <w:top w:val="nil"/>
              <w:left w:val="nil"/>
              <w:bottom w:val="nil"/>
              <w:right w:val="nil"/>
            </w:tcBorders>
            <w:vAlign w:val="top"/>
          </w:tcPr>
          <w:p>
            <w:pPr>
              <w:bidi w:val="0"/>
              <w:spacing w:before="0" w:after="160" w:line="259" w:lineRule="auto"/>
              <w:ind w:left="0" w:right="0" w:firstLine="0"/>
              <w:jc w:val="left"/>
            </w:pPr>
          </w:p>
        </w:tc>
        <w:tc>
          <w:tcPr>
            <w:tcW w:w="1394" w:type="dxa"/>
            <w:gridSpan w:val="2"/>
            <w:tcBorders>
              <w:top w:val="nil"/>
              <w:left w:val="nil"/>
              <w:bottom w:val="nil"/>
              <w:right w:val="nil"/>
            </w:tcBorders>
            <w:vAlign w:val="top"/>
          </w:tcPr>
          <w:p>
            <w:pPr>
              <w:bidi w:val="0"/>
              <w:spacing w:before="0" w:after="160" w:line="259" w:lineRule="auto"/>
              <w:ind w:left="0" w:right="0" w:firstLine="0"/>
              <w:jc w:val="left"/>
            </w:pPr>
          </w:p>
        </w:tc>
        <w:tc>
          <w:tcPr>
            <w:tcW w:w="887" w:type="dxa"/>
            <w:tcBorders>
              <w:top w:val="nil"/>
              <w:left w:val="nil"/>
              <w:bottom w:val="nil"/>
              <w:right w:val="nil"/>
            </w:tcBorders>
            <w:vAlign w:val="top"/>
          </w:tcPr>
          <w:p>
            <w:pPr>
              <w:bidi w:val="0"/>
              <w:spacing w:before="0" w:after="160" w:line="259" w:lineRule="auto"/>
              <w:ind w:left="0" w:right="0" w:firstLine="0"/>
              <w:jc w:val="left"/>
            </w:pPr>
          </w:p>
        </w:tc>
      </w:tr>
      <w:tr>
        <w:trPr>
          <w:trHeight w:val="268" w:hRule="atLeast"/>
        </w:trPr>
        <w:tc>
          <w:tcPr>
            <w:tcW w:w="8694" w:type="dxa"/>
            <w:gridSpan w:val="2"/>
            <w:tcBorders>
              <w:top w:val="nil"/>
              <w:left w:val="nil"/>
              <w:bottom w:val="nil"/>
              <w:right w:val="nil"/>
            </w:tcBorders>
            <w:shd w:val="clear" w:fill="f3dcda"/>
            <w:vAlign w:val="top"/>
          </w:tcPr>
          <w:p>
            <w:pPr>
              <w:spacing w:before="0" w:after="0" w:line="259" w:lineRule="auto"/>
              <w:ind w:left="32" w:right="0" w:firstLine="0"/>
              <w:jc w:val="left"/>
            </w:pPr>
            <w:r>
              <w:rPr>
                <w:rFonts w:cs="Calibri" w:hAnsi="Calibri" w:eastAsia="Calibri" w:ascii="Calibri"/>
                <w:b w:val="1"/>
                <w:sz w:val="19"/>
              </w:rPr>
              <w:t xml:space="preserve">7Output71:77Legal7&amp;7Institutional7Reforms7Introduced7to7Promote7Democratic7Elections7</w:t>
            </w:r>
          </w:p>
        </w:tc>
        <w:tc>
          <w:tcPr>
            <w:tcW w:w="1033" w:type="dxa"/>
            <w:tcBorders>
              <w:top w:val="nil"/>
              <w:left w:val="nil"/>
              <w:bottom w:val="nil"/>
              <w:right w:val="nil"/>
            </w:tcBorders>
            <w:shd w:val="clear" w:fill="f3dcda"/>
            <w:vAlign w:val="top"/>
          </w:tcPr>
          <w:p>
            <w:pPr>
              <w:bidi w:val="0"/>
              <w:spacing w:before="0" w:after="160" w:line="259" w:lineRule="auto"/>
              <w:ind w:left="0" w:right="0" w:firstLine="0"/>
              <w:jc w:val="left"/>
            </w:pPr>
          </w:p>
        </w:tc>
        <w:tc>
          <w:tcPr>
            <w:tcW w:w="1065" w:type="dxa"/>
            <w:tcBorders>
              <w:top w:val="nil"/>
              <w:left w:val="nil"/>
              <w:bottom w:val="nil"/>
              <w:right w:val="nil"/>
            </w:tcBorders>
            <w:shd w:val="clear" w:fill="f3dcda"/>
            <w:vAlign w:val="top"/>
          </w:tcPr>
          <w:p>
            <w:pPr>
              <w:bidi w:val="0"/>
              <w:spacing w:before="0" w:after="160" w:line="259" w:lineRule="auto"/>
              <w:ind w:left="0" w:right="0" w:firstLine="0"/>
              <w:jc w:val="left"/>
            </w:pPr>
          </w:p>
        </w:tc>
        <w:tc>
          <w:tcPr>
            <w:tcW w:w="1394" w:type="dxa"/>
            <w:gridSpan w:val="2"/>
            <w:tcBorders>
              <w:top w:val="nil"/>
              <w:left w:val="nil"/>
              <w:bottom w:val="nil"/>
              <w:right w:val="nil"/>
            </w:tcBorders>
            <w:shd w:val="clear" w:fill="f3dcda"/>
            <w:vAlign w:val="top"/>
          </w:tcPr>
          <w:p>
            <w:pPr>
              <w:bidi w:val="0"/>
              <w:spacing w:before="0" w:after="160" w:line="259" w:lineRule="auto"/>
              <w:ind w:left="0" w:right="0" w:firstLine="0"/>
              <w:jc w:val="left"/>
            </w:pPr>
          </w:p>
        </w:tc>
        <w:tc>
          <w:tcPr>
            <w:tcW w:w="887" w:type="dxa"/>
            <w:tcBorders>
              <w:top w:val="nil"/>
              <w:left w:val="nil"/>
              <w:bottom w:val="nil"/>
              <w:right w:val="nil"/>
            </w:tcBorders>
            <w:shd w:val="clear" w:fill="f3dcda"/>
            <w:vAlign w:val="top"/>
          </w:tcPr>
          <w:p>
            <w:pPr>
              <w:bidi w:val="0"/>
              <w:spacing w:before="0" w:after="160" w:line="259" w:lineRule="auto"/>
              <w:ind w:left="0" w:right="0" w:firstLine="0"/>
              <w:jc w:val="left"/>
            </w:pPr>
          </w:p>
        </w:tc>
      </w:tr>
      <w:tr>
        <w:trPr>
          <w:trHeight w:val="93" w:hRule="atLeast"/>
        </w:trPr>
        <w:tc>
          <w:tcPr>
            <w:tcW w:w="8694" w:type="dxa"/>
            <w:gridSpan w:val="2"/>
            <w:tcBorders>
              <w:top w:val="nil"/>
              <w:left w:val="nil"/>
              <w:bottom w:val="nil"/>
              <w:right w:val="nil"/>
            </w:tcBorders>
            <w:vAlign w:val="top"/>
          </w:tcPr>
          <w:p>
            <w:pPr>
              <w:bidi w:val="0"/>
              <w:spacing w:before="0" w:after="160" w:line="259" w:lineRule="auto"/>
              <w:ind w:left="0" w:right="0" w:firstLine="0"/>
              <w:jc w:val="left"/>
            </w:pPr>
          </w:p>
        </w:tc>
        <w:tc>
          <w:tcPr>
            <w:tcW w:w="1033" w:type="dxa"/>
            <w:tcBorders>
              <w:top w:val="nil"/>
              <w:left w:val="nil"/>
              <w:bottom w:val="nil"/>
              <w:right w:val="nil"/>
            </w:tcBorders>
            <w:vAlign w:val="top"/>
          </w:tcPr>
          <w:p>
            <w:pPr>
              <w:bidi w:val="0"/>
              <w:spacing w:before="0" w:after="160" w:line="259" w:lineRule="auto"/>
              <w:ind w:left="0" w:right="0" w:firstLine="0"/>
              <w:jc w:val="left"/>
            </w:pPr>
          </w:p>
        </w:tc>
        <w:tc>
          <w:tcPr>
            <w:tcW w:w="1065" w:type="dxa"/>
            <w:tcBorders>
              <w:top w:val="nil"/>
              <w:left w:val="nil"/>
              <w:bottom w:val="nil"/>
              <w:right w:val="nil"/>
            </w:tcBorders>
            <w:vAlign w:val="top"/>
          </w:tcPr>
          <w:p>
            <w:pPr>
              <w:bidi w:val="0"/>
              <w:spacing w:before="0" w:after="160" w:line="259" w:lineRule="auto"/>
              <w:ind w:left="0" w:right="0" w:firstLine="0"/>
              <w:jc w:val="left"/>
            </w:pPr>
          </w:p>
        </w:tc>
        <w:tc>
          <w:tcPr>
            <w:tcW w:w="1394" w:type="dxa"/>
            <w:gridSpan w:val="2"/>
            <w:tcBorders>
              <w:top w:val="nil"/>
              <w:left w:val="nil"/>
              <w:bottom w:val="nil"/>
              <w:right w:val="nil"/>
            </w:tcBorders>
            <w:vAlign w:val="top"/>
          </w:tcPr>
          <w:p>
            <w:pPr>
              <w:bidi w:val="0"/>
              <w:spacing w:before="0" w:after="160" w:line="259" w:lineRule="auto"/>
              <w:ind w:left="0" w:right="0" w:firstLine="0"/>
              <w:jc w:val="left"/>
            </w:pPr>
          </w:p>
        </w:tc>
        <w:tc>
          <w:tcPr>
            <w:tcW w:w="887" w:type="dxa"/>
            <w:tcBorders>
              <w:top w:val="nil"/>
              <w:left w:val="nil"/>
              <w:bottom w:val="nil"/>
              <w:right w:val="nil"/>
            </w:tcBorders>
            <w:vAlign w:val="top"/>
          </w:tcPr>
          <w:p>
            <w:pPr>
              <w:bidi w:val="0"/>
              <w:spacing w:before="0" w:after="160" w:line="259" w:lineRule="auto"/>
              <w:ind w:left="0" w:right="0" w:firstLine="0"/>
              <w:jc w:val="left"/>
            </w:pPr>
          </w:p>
        </w:tc>
      </w:tr>
      <w:tr>
        <w:trPr>
          <w:trHeight w:val="280" w:hRule="atLeast"/>
        </w:trPr>
        <w:tc>
          <w:tcPr>
            <w:tcW w:w="8694" w:type="dxa"/>
            <w:gridSpan w:val="2"/>
            <w:tcBorders>
              <w:top w:val="nil"/>
              <w:left w:val="nil"/>
              <w:bottom w:val="nil"/>
              <w:right w:val="nil"/>
            </w:tcBorders>
            <w:shd w:val="clear" w:fill="dce6f1"/>
            <w:vAlign w:val="top"/>
          </w:tcPr>
          <w:p>
            <w:pPr>
              <w:tabs>
                <w:tab w:val="center" w:pos="457"/>
                <w:tab w:val="center" w:pos="3464"/>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1.1.1.	</w:t>
            </w:r>
            <w:r>
              <w:rPr>
                <w:rFonts w:cs="Calibri" w:hAnsi="Calibri" w:eastAsia="Calibri" w:ascii="Calibri"/>
                <w:b w:val="1"/>
                <w:sz w:val="19"/>
              </w:rPr>
              <w:t xml:space="preserve">77Support7NEC7in7updating7the7election7regulations7and7guidelines7</w:t>
            </w:r>
          </w:p>
        </w:tc>
        <w:tc>
          <w:tcPr>
            <w:tcW w:w="1033"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065"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94" w:type="dxa"/>
            <w:gridSpan w:val="2"/>
            <w:tcBorders>
              <w:top w:val="nil"/>
              <w:left w:val="nil"/>
              <w:bottom w:val="nil"/>
              <w:right w:val="nil"/>
            </w:tcBorders>
            <w:shd w:val="clear" w:fill="dce6f1"/>
            <w:vAlign w:val="top"/>
          </w:tcPr>
          <w:p>
            <w:pPr>
              <w:bidi w:val="0"/>
              <w:spacing w:before="0" w:after="160" w:line="259" w:lineRule="auto"/>
              <w:ind w:left="0" w:right="0" w:firstLine="0"/>
              <w:jc w:val="left"/>
            </w:pPr>
          </w:p>
        </w:tc>
        <w:tc>
          <w:tcPr>
            <w:tcW w:w="887"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1283" w:hRule="atLeast"/>
        </w:trPr>
        <w:tc>
          <w:tcPr>
            <w:tcW w:w="8694" w:type="dxa"/>
            <w:gridSpan w:val="2"/>
            <w:vMerge w:val="restart"/>
            <w:tcBorders>
              <w:top w:val="nil"/>
              <w:left w:val="nil"/>
              <w:bottom w:val="nil"/>
              <w:right w:val="nil"/>
            </w:tcBorders>
            <w:vAlign w:val="top"/>
          </w:tcPr>
          <w:p>
            <w:pPr>
              <w:spacing w:before="0" w:after="24" w:line="282" w:lineRule="auto"/>
              <w:ind w:left="31" w:right="172" w:firstLine="2"/>
              <w:jc w:val="left"/>
            </w:pPr>
            <w:r>
              <w:rPr>
                <w:rFonts w:cs="Calibri" w:hAnsi="Calibri" w:eastAsia="Calibri" w:ascii="Calibri"/>
                <w:sz w:val="19"/>
              </w:rPr>
              <w:t xml:space="preserve">*A.*Regional*Workshops*(4)**with*ROs/AROs*to*test*materials:**review*	*In8Country*Travel*8*AirFare* of*new*procedures*&amp;*guidelines*with*front8line*implementers*for*the*	*In8Country*Travel*8*Ground* referendum*	*In8Country*DSA*</w:t>
            </w:r>
          </w:p>
          <w:p>
            <w:pPr>
              <w:spacing w:before="0" w:after="6" w:line="259" w:lineRule="auto"/>
              <w:ind w:left="3505" w:right="0" w:firstLine="0"/>
              <w:jc w:val="center"/>
            </w:pPr>
            <w:r>
              <w:rPr>
                <w:rFonts w:cs="Calibri" w:hAnsi="Calibri" w:eastAsia="Calibri" w:ascii="Calibri"/>
                <w:sz w:val="19"/>
              </w:rPr>
              <w:t xml:space="preserve">*Workshop*Costs*</w:t>
            </w:r>
          </w:p>
          <w:p>
            <w:pPr>
              <w:spacing w:before="0" w:after="566" w:line="259" w:lineRule="auto"/>
              <w:ind w:left="5431" w:right="0" w:firstLine="0"/>
              <w:jc w:val="left"/>
            </w:pPr>
            <w:r>
              <w:rPr>
                <w:rFonts w:cs="Calibri" w:hAnsi="Calibri" w:eastAsia="Calibri" w:ascii="Calibri"/>
                <w:sz w:val="19"/>
              </w:rPr>
              <w:t xml:space="preserve">*Printing*&amp;*materials*</w:t>
            </w:r>
          </w:p>
          <w:p>
            <w:pPr>
              <w:tabs>
                <w:tab w:val="center" w:pos="6089"/>
              </w:tabs>
              <w:spacing w:before="0" w:after="6" w:line="259" w:lineRule="auto"/>
              <w:ind w:left="0" w:right="0" w:firstLine="0"/>
              <w:jc w:val="left"/>
            </w:pPr>
            <w:r>
              <w:rPr>
                <w:rFonts w:cs="Calibri" w:hAnsi="Calibri" w:eastAsia="Calibri" w:ascii="Calibri"/>
                <w:sz w:val="19"/>
              </w:rPr>
              <w:t xml:space="preserve">B.*Zanzibar*Referendum*Act*No.*6*2010,*Stakeholders'*Meeting	*Workshop*Costs*</w:t>
            </w:r>
          </w:p>
          <w:p>
            <w:pPr>
              <w:spacing w:before="0" w:after="0" w:line="259" w:lineRule="auto"/>
              <w:ind w:left="89" w:right="0" w:firstLine="0"/>
            </w:pPr>
            <w:r>
              <w:rPr>
                <w:rFonts w:cs="Calibri" w:hAnsi="Calibri" w:eastAsia="Calibri" w:ascii="Calibri"/>
                <w:sz w:val="19"/>
              </w:rPr>
              <w:t xml:space="preserve">Preparation*and*Drafting*of*Act* *Workshop*Costs* Workshop*for*Validation*of*the*Act *Workshop*Costs*</w:t>
            </w:r>
          </w:p>
        </w:tc>
        <w:tc>
          <w:tcPr>
            <w:tcW w:w="1033" w:type="dxa"/>
            <w:tcBorders>
              <w:top w:val="nil"/>
              <w:left w:val="nil"/>
              <w:bottom w:val="double" w:sz="6" w:color="000000"/>
              <w:right w:val="nil"/>
            </w:tcBorders>
            <w:vAlign w:val="top"/>
          </w:tcPr>
          <w:p>
            <w:pPr>
              <w:spacing w:before="0" w:after="18" w:line="259" w:lineRule="auto"/>
              <w:ind w:left="20" w:right="0" w:firstLine="0"/>
              <w:jc w:val="left"/>
            </w:pPr>
            <w:r>
              <w:rPr>
                <w:rFonts w:cs="Calibri" w:hAnsi="Calibri" w:eastAsia="Calibri" w:ascii="Calibri"/>
                <w:sz w:val="19"/>
              </w:rPr>
              <w:t xml:space="preserve">Pool</w:t>
            </w:r>
          </w:p>
          <w:p>
            <w:pPr>
              <w:spacing w:before="0" w:after="6" w:line="259" w:lineRule="auto"/>
              <w:ind w:left="0" w:right="0" w:firstLine="0"/>
              <w:jc w:val="left"/>
            </w:pPr>
            <w:r>
              <w:rPr>
                <w:rFonts w:cs="Calibri" w:hAnsi="Calibri" w:eastAsia="Calibri" w:ascii="Calibri"/>
                <w:sz w:val="19"/>
              </w:rPr>
              <w:t xml:space="preserve">*Pool*</w:t>
            </w:r>
          </w:p>
          <w:p>
            <w:pPr>
              <w:spacing w:before="0" w:after="6" w:line="259" w:lineRule="auto"/>
              <w:ind w:left="0" w:right="0" w:firstLine="0"/>
              <w:jc w:val="left"/>
            </w:pPr>
            <w:r>
              <w:rPr>
                <w:rFonts w:cs="Calibri" w:hAnsi="Calibri" w:eastAsia="Calibri" w:ascii="Calibri"/>
                <w:sz w:val="19"/>
              </w:rPr>
              <w:t xml:space="preserve">*Pool*</w:t>
            </w:r>
          </w:p>
          <w:p>
            <w:pPr>
              <w:spacing w:before="0" w:after="6" w:line="259" w:lineRule="auto"/>
              <w:ind w:left="20" w:right="0" w:firstLine="0"/>
              <w:jc w:val="left"/>
            </w:pPr>
            <w:r>
              <w:rPr>
                <w:rFonts w:cs="Calibri" w:hAnsi="Calibri" w:eastAsia="Calibri" w:ascii="Calibri"/>
                <w:sz w:val="19"/>
              </w:rPr>
              <w:t xml:space="preserve">Pool</w:t>
            </w:r>
          </w:p>
          <w:p>
            <w:pPr>
              <w:spacing w:before="0" w:after="0" w:line="259" w:lineRule="auto"/>
              <w:ind w:left="20" w:right="0" w:firstLine="0"/>
              <w:jc w:val="left"/>
            </w:pPr>
            <w:r>
              <w:rPr>
                <w:rFonts w:cs="Calibri" w:hAnsi="Calibri" w:eastAsia="Calibri" w:ascii="Calibri"/>
                <w:sz w:val="19"/>
              </w:rPr>
              <w:t xml:space="preserve">Pool</w:t>
            </w:r>
          </w:p>
        </w:tc>
        <w:tc>
          <w:tcPr>
            <w:tcW w:w="1065" w:type="dxa"/>
            <w:tcBorders>
              <w:top w:val="nil"/>
              <w:left w:val="nil"/>
              <w:bottom w:val="double" w:sz="6" w:color="000000"/>
              <w:right w:val="nil"/>
            </w:tcBorders>
            <w:vAlign w:val="top"/>
          </w:tcPr>
          <w:p>
            <w:pPr>
              <w:spacing w:before="0" w:after="0" w:line="278" w:lineRule="auto"/>
              <w:ind w:left="22" w:right="832" w:firstLine="0"/>
              <w:jc w:val="left"/>
            </w:pPr>
            <w:r>
              <w:rPr>
                <w:rFonts w:cs="Calibri" w:hAnsi="Calibri" w:eastAsia="Calibri" w:ascii="Calibri"/>
                <w:sz w:val="19"/>
              </w:rPr>
              <w:t xml:space="preserve">1 1</w:t>
            </w:r>
          </w:p>
          <w:p>
            <w:pPr>
              <w:spacing w:before="0" w:after="6" w:line="259" w:lineRule="auto"/>
              <w:ind w:left="22" w:right="0" w:firstLine="0"/>
              <w:jc w:val="left"/>
            </w:pPr>
            <w:r>
              <w:rPr>
                <w:rFonts w:cs="Calibri" w:hAnsi="Calibri" w:eastAsia="Calibri" w:ascii="Calibri"/>
                <w:sz w:val="19"/>
              </w:rPr>
              <w:t xml:space="preserve">1</w:t>
            </w:r>
          </w:p>
          <w:p>
            <w:pPr>
              <w:spacing w:before="0" w:after="6" w:line="259" w:lineRule="auto"/>
              <w:ind w:left="22" w:right="0" w:firstLine="0"/>
              <w:jc w:val="left"/>
            </w:pPr>
            <w:r>
              <w:rPr>
                <w:rFonts w:cs="Calibri" w:hAnsi="Calibri" w:eastAsia="Calibri" w:ascii="Calibri"/>
                <w:sz w:val="19"/>
              </w:rPr>
              <w:t xml:space="preserve">4</w:t>
            </w:r>
          </w:p>
          <w:p>
            <w:pPr>
              <w:spacing w:before="0" w:after="0" w:line="259" w:lineRule="auto"/>
              <w:ind w:left="22" w:right="0" w:firstLine="0"/>
              <w:jc w:val="left"/>
            </w:pPr>
            <w:r>
              <w:rPr>
                <w:rFonts w:cs="Calibri" w:hAnsi="Calibri" w:eastAsia="Calibri" w:ascii="Calibri"/>
                <w:sz w:val="19"/>
              </w:rPr>
              <w:t xml:space="preserve">1</w:t>
            </w:r>
          </w:p>
        </w:tc>
        <w:tc>
          <w:tcPr>
            <w:tcW w:w="1394" w:type="dxa"/>
            <w:gridSpan w:val="2"/>
            <w:tcBorders>
              <w:top w:val="nil"/>
              <w:left w:val="nil"/>
              <w:bottom w:val="double" w:sz="6" w:color="000000"/>
              <w:right w:val="nil"/>
            </w:tcBorders>
            <w:vAlign w:val="top"/>
          </w:tcPr>
          <w:p>
            <w:pPr>
              <w:spacing w:before="0" w:after="0" w:line="278" w:lineRule="auto"/>
              <w:ind w:left="130" w:right="0" w:firstLine="0"/>
              <w:jc w:val="left"/>
            </w:pPr>
            <w:r>
              <w:rPr>
                <w:rFonts w:cs="Calibri" w:hAnsi="Calibri" w:eastAsia="Calibri" w:ascii="Calibri"/>
                <w:sz w:val="19"/>
              </w:rPr>
              <w:t xml:space="preserve">$5,000.00 $7,500.00</w:t>
            </w:r>
          </w:p>
          <w:p>
            <w:pPr>
              <w:spacing w:before="0" w:after="6" w:line="259" w:lineRule="auto"/>
              <w:ind w:left="130" w:right="0" w:firstLine="0"/>
              <w:jc w:val="left"/>
            </w:pPr>
            <w:r>
              <w:rPr>
                <w:rFonts w:cs="Calibri" w:hAnsi="Calibri" w:eastAsia="Calibri" w:ascii="Calibri"/>
                <w:sz w:val="19"/>
              </w:rPr>
              <w:t xml:space="preserve">$5,000.00</w:t>
            </w:r>
          </w:p>
          <w:p>
            <w:pPr>
              <w:spacing w:before="0" w:after="0" w:line="259" w:lineRule="auto"/>
              <w:ind w:left="37" w:right="0" w:firstLine="93"/>
              <w:jc w:val="left"/>
            </w:pPr>
            <w:r>
              <w:rPr>
                <w:rFonts w:cs="Calibri" w:hAnsi="Calibri" w:eastAsia="Calibri" w:ascii="Calibri"/>
                <w:sz w:val="19"/>
              </w:rPr>
              <w:t xml:space="preserve">$2,500.00 $10,000.00</w:t>
            </w:r>
          </w:p>
        </w:tc>
        <w:tc>
          <w:tcPr>
            <w:tcW w:w="887" w:type="dxa"/>
            <w:tcBorders>
              <w:top w:val="nil"/>
              <w:left w:val="nil"/>
              <w:bottom w:val="double" w:sz="6" w:color="000000"/>
              <w:right w:val="nil"/>
            </w:tcBorders>
            <w:vAlign w:val="top"/>
          </w:tcPr>
          <w:p>
            <w:pPr>
              <w:spacing w:before="0" w:after="0" w:line="278" w:lineRule="auto"/>
              <w:ind w:left="0" w:right="0" w:firstLine="0"/>
              <w:jc w:val="center"/>
            </w:pPr>
            <w:r>
              <w:rPr>
                <w:rFonts w:cs="Calibri" w:hAnsi="Calibri" w:eastAsia="Calibri" w:ascii="Calibri"/>
                <w:sz w:val="19"/>
              </w:rPr>
              <w:t xml:space="preserve">$5,000.00 $7,500.00</w:t>
            </w:r>
          </w:p>
          <w:p>
            <w:pPr>
              <w:spacing w:before="0" w:after="0" w:line="265" w:lineRule="auto"/>
              <w:ind w:left="14" w:right="0" w:firstLine="93"/>
              <w:jc w:val="left"/>
            </w:pPr>
            <w:r>
              <w:rPr>
                <w:rFonts w:cs="Calibri" w:hAnsi="Calibri" w:eastAsia="Calibri" w:ascii="Calibri"/>
                <w:sz w:val="19"/>
              </w:rPr>
              <w:t xml:space="preserve">$5,000.00 $10,000.00</w:t>
            </w:r>
          </w:p>
          <w:p>
            <w:pPr>
              <w:spacing w:before="0" w:after="0" w:line="259" w:lineRule="auto"/>
              <w:ind w:left="14" w:right="0" w:firstLine="0"/>
            </w:pPr>
            <w:r>
              <w:rPr>
                <w:rFonts w:cs="Calibri" w:hAnsi="Calibri" w:eastAsia="Calibri" w:ascii="Calibri"/>
                <w:sz w:val="19"/>
              </w:rPr>
              <w:t xml:space="preserve">$10,000.00</w:t>
            </w:r>
          </w:p>
        </w:tc>
      </w:tr>
      <w:tr>
        <w:trPr>
          <w:trHeight w:val="1287" w:hRule="atLeast"/>
        </w:trPr>
        <w:tc>
          <w:tcPr>
            <w:gridSpan w:val="2"/>
            <w:vMerge w:val="continue"/>
            <w:tcBorders>
              <w:top w:val="nil"/>
              <w:left w:val="nil"/>
              <w:bottom w:val="nil"/>
              <w:right w:val="nil"/>
            </w:tcBorders>
            <w:vAlign w:val="top"/>
          </w:tcPr>
          <w:p>
            <w:pPr>
              <w:bidi w:val="0"/>
              <w:spacing w:before="0" w:after="160" w:line="259" w:lineRule="auto"/>
              <w:ind w:left="0" w:right="0" w:firstLine="0"/>
              <w:jc w:val="left"/>
            </w:pPr>
          </w:p>
        </w:tc>
        <w:tc>
          <w:tcPr>
            <w:tcW w:w="1033" w:type="dxa"/>
            <w:tcBorders>
              <w:top w:val="double" w:sz="6" w:color="000000"/>
              <w:left w:val="nil"/>
              <w:bottom w:val="double" w:sz="6" w:color="000000"/>
              <w:right w:val="nil"/>
            </w:tcBorders>
            <w:vAlign w:val="bottom"/>
          </w:tcPr>
          <w:p>
            <w:pPr>
              <w:spacing w:before="0" w:after="6" w:line="259" w:lineRule="auto"/>
              <w:ind w:left="20" w:right="0" w:firstLine="0"/>
              <w:jc w:val="left"/>
            </w:pPr>
            <w:r>
              <w:rPr>
                <w:rFonts w:cs="Calibri" w:hAnsi="Calibri" w:eastAsia="Calibri" w:ascii="Calibri"/>
                <w:sz w:val="19"/>
              </w:rPr>
              <w:t xml:space="preserve">Pool</w:t>
            </w:r>
          </w:p>
          <w:p>
            <w:pPr>
              <w:spacing w:before="0" w:after="0" w:line="259" w:lineRule="auto"/>
              <w:ind w:left="20" w:right="0" w:firstLine="0"/>
              <w:jc w:val="left"/>
            </w:pPr>
            <w:r>
              <w:rPr>
                <w:rFonts w:cs="Calibri" w:hAnsi="Calibri" w:eastAsia="Calibri" w:ascii="Calibri"/>
                <w:sz w:val="19"/>
              </w:rPr>
              <w:t xml:space="preserve">Pool</w:t>
            </w:r>
          </w:p>
          <w:p>
            <w:pPr>
              <w:spacing w:before="0" w:after="0" w:line="259" w:lineRule="auto"/>
              <w:ind w:left="20" w:right="0" w:firstLine="0"/>
              <w:jc w:val="left"/>
            </w:pPr>
            <w:r>
              <w:rPr>
                <w:rFonts w:cs="Calibri" w:hAnsi="Calibri" w:eastAsia="Calibri" w:ascii="Calibri"/>
                <w:sz w:val="19"/>
              </w:rPr>
              <w:t xml:space="preserve">Pool</w:t>
            </w:r>
          </w:p>
        </w:tc>
        <w:tc>
          <w:tcPr>
            <w:tcW w:w="1065" w:type="dxa"/>
            <w:tcBorders>
              <w:top w:val="double" w:sz="6" w:color="000000"/>
              <w:left w:val="nil"/>
              <w:bottom w:val="double" w:sz="6" w:color="000000"/>
              <w:right w:val="nil"/>
            </w:tcBorders>
            <w:vAlign w:val="bottom"/>
          </w:tcPr>
          <w:p>
            <w:pPr>
              <w:spacing w:before="0" w:after="30" w:line="259" w:lineRule="auto"/>
              <w:ind w:left="22" w:right="0" w:firstLine="0"/>
              <w:jc w:val="left"/>
            </w:pPr>
            <w:r>
              <w:rPr>
                <w:rFonts w:cs="Calibri" w:hAnsi="Calibri" w:eastAsia="Calibri" w:ascii="Calibri"/>
                <w:sz w:val="19"/>
              </w:rPr>
              <w:t xml:space="preserve">1</w:t>
            </w:r>
          </w:p>
          <w:p>
            <w:pPr>
              <w:spacing w:before="0" w:after="0" w:line="259" w:lineRule="auto"/>
              <w:ind w:left="26" w:right="0" w:firstLine="0"/>
              <w:jc w:val="left"/>
            </w:pPr>
            <w:r>
              <w:rPr>
                <w:rFonts w:cs="Calibri" w:hAnsi="Calibri" w:eastAsia="Calibri" w:ascii="Calibri"/>
                <w:sz w:val="19"/>
              </w:rPr>
              <w:t xml:space="preserve">1</w:t>
            </w:r>
          </w:p>
          <w:p>
            <w:pPr>
              <w:spacing w:before="0" w:after="0" w:line="259" w:lineRule="auto"/>
              <w:ind w:left="26" w:right="0" w:firstLine="0"/>
              <w:jc w:val="left"/>
            </w:pPr>
            <w:r>
              <w:rPr>
                <w:rFonts w:cs="Calibri" w:hAnsi="Calibri" w:eastAsia="Calibri" w:ascii="Calibri"/>
                <w:sz w:val="19"/>
              </w:rPr>
              <w:t xml:space="preserve">1</w:t>
            </w:r>
          </w:p>
        </w:tc>
        <w:tc>
          <w:tcPr>
            <w:tcW w:w="1394" w:type="dxa"/>
            <w:gridSpan w:val="2"/>
            <w:tcBorders>
              <w:top w:val="double" w:sz="6" w:color="000000"/>
              <w:left w:val="nil"/>
              <w:bottom w:val="double" w:sz="6" w:color="000000"/>
              <w:right w:val="nil"/>
            </w:tcBorders>
            <w:vAlign w:val="bottom"/>
          </w:tcPr>
          <w:p>
            <w:pPr>
              <w:spacing w:before="0" w:after="6" w:line="259" w:lineRule="auto"/>
              <w:ind w:left="118" w:right="0" w:firstLine="0"/>
              <w:jc w:val="left"/>
            </w:pPr>
            <w:r>
              <w:rPr>
                <w:rFonts w:cs="Calibri" w:hAnsi="Calibri" w:eastAsia="Calibri" w:ascii="Calibri"/>
                <w:sz w:val="19"/>
              </w:rPr>
              <w:t xml:space="preserve">$3,000.00</w:t>
            </w:r>
          </w:p>
          <w:p>
            <w:pPr>
              <w:spacing w:before="0" w:after="0" w:line="259" w:lineRule="auto"/>
              <w:ind w:left="118" w:right="0" w:firstLine="0"/>
              <w:jc w:val="left"/>
            </w:pPr>
            <w:r>
              <w:rPr>
                <w:rFonts w:cs="Calibri" w:hAnsi="Calibri" w:eastAsia="Calibri" w:ascii="Calibri"/>
                <w:sz w:val="19"/>
              </w:rPr>
              <w:t xml:space="preserve">$3,000.00</w:t>
            </w:r>
          </w:p>
          <w:p>
            <w:pPr>
              <w:spacing w:before="0" w:after="0" w:line="259" w:lineRule="auto"/>
              <w:ind w:left="118" w:right="0" w:firstLine="0"/>
              <w:jc w:val="left"/>
            </w:pPr>
            <w:r>
              <w:rPr>
                <w:rFonts w:cs="Calibri" w:hAnsi="Calibri" w:eastAsia="Calibri" w:ascii="Calibri"/>
                <w:sz w:val="19"/>
              </w:rPr>
              <w:t xml:space="preserve">$3,000.00</w:t>
            </w:r>
          </w:p>
        </w:tc>
        <w:tc>
          <w:tcPr>
            <w:tcW w:w="887" w:type="dxa"/>
            <w:tcBorders>
              <w:top w:val="double" w:sz="6" w:color="000000"/>
              <w:left w:val="nil"/>
              <w:bottom w:val="double" w:sz="6" w:color="000000"/>
              <w:right w:val="nil"/>
            </w:tcBorders>
            <w:vAlign w:val="top"/>
          </w:tcPr>
          <w:p>
            <w:pPr>
              <w:spacing w:before="0" w:after="269" w:line="259" w:lineRule="auto"/>
              <w:ind w:left="2" w:right="0" w:firstLine="0"/>
            </w:pPr>
            <w:r>
              <w:rPr>
                <w:rFonts w:cs="Calibri" w:hAnsi="Calibri" w:eastAsia="Calibri" w:ascii="Calibri"/>
                <w:sz w:val="19"/>
              </w:rPr>
              <w:t xml:space="preserve">$37,500.00</w:t>
            </w:r>
          </w:p>
          <w:p>
            <w:pPr>
              <w:spacing w:before="0" w:after="6" w:line="259" w:lineRule="auto"/>
              <w:ind w:left="95" w:right="0" w:firstLine="0"/>
              <w:jc w:val="left"/>
            </w:pPr>
            <w:r>
              <w:rPr>
                <w:rFonts w:cs="Calibri" w:hAnsi="Calibri" w:eastAsia="Calibri" w:ascii="Calibri"/>
                <w:sz w:val="19"/>
              </w:rPr>
              <w:t xml:space="preserve">$3,000.00</w:t>
            </w:r>
          </w:p>
          <w:p>
            <w:pPr>
              <w:spacing w:before="0" w:after="0" w:line="259" w:lineRule="auto"/>
              <w:ind w:left="95" w:right="0" w:firstLine="0"/>
              <w:jc w:val="left"/>
            </w:pPr>
            <w:r>
              <w:rPr>
                <w:rFonts w:cs="Calibri" w:hAnsi="Calibri" w:eastAsia="Calibri" w:ascii="Calibri"/>
                <w:sz w:val="19"/>
              </w:rPr>
              <w:t xml:space="preserve">$3,000.00</w:t>
            </w:r>
          </w:p>
          <w:p>
            <w:pPr>
              <w:spacing w:before="0" w:after="0" w:line="259" w:lineRule="auto"/>
              <w:ind w:left="95" w:right="0" w:firstLine="0"/>
              <w:jc w:val="left"/>
            </w:pPr>
            <w:r>
              <w:rPr>
                <w:rFonts w:cs="Calibri" w:hAnsi="Calibri" w:eastAsia="Calibri" w:ascii="Calibri"/>
                <w:sz w:val="19"/>
              </w:rPr>
              <w:t xml:space="preserve">$3,000.00</w:t>
            </w:r>
          </w:p>
        </w:tc>
      </w:tr>
      <w:tr>
        <w:trPr>
          <w:trHeight w:val="503" w:hRule="atLeast"/>
        </w:trPr>
        <w:tc>
          <w:tcPr>
            <w:gridSpan w:val="2"/>
            <w:vMerge w:val="continue"/>
            <w:tcBorders>
              <w:top w:val="nil"/>
              <w:left w:val="nil"/>
              <w:bottom w:val="nil"/>
              <w:right w:val="nil"/>
            </w:tcBorders>
            <w:vAlign w:val="top"/>
          </w:tcPr>
          <w:p>
            <w:pPr>
              <w:bidi w:val="0"/>
              <w:spacing w:before="0" w:after="160" w:line="259" w:lineRule="auto"/>
              <w:ind w:left="0" w:right="0" w:firstLine="0"/>
              <w:jc w:val="left"/>
            </w:pPr>
          </w:p>
        </w:tc>
        <w:tc>
          <w:tcPr>
            <w:tcW w:w="1033" w:type="dxa"/>
            <w:tcBorders>
              <w:top w:val="double" w:sz="6" w:color="000000"/>
              <w:left w:val="nil"/>
              <w:bottom w:val="nil"/>
              <w:right w:val="nil"/>
            </w:tcBorders>
            <w:vAlign w:val="top"/>
          </w:tcPr>
          <w:p>
            <w:pPr>
              <w:bidi w:val="0"/>
              <w:spacing w:before="0" w:after="160" w:line="259" w:lineRule="auto"/>
              <w:ind w:left="0" w:right="0" w:firstLine="0"/>
              <w:jc w:val="left"/>
            </w:pPr>
          </w:p>
        </w:tc>
        <w:tc>
          <w:tcPr>
            <w:tcW w:w="1065" w:type="dxa"/>
            <w:tcBorders>
              <w:top w:val="double" w:sz="6" w:color="000000"/>
              <w:left w:val="nil"/>
              <w:bottom w:val="nil"/>
              <w:right w:val="nil"/>
            </w:tcBorders>
            <w:vAlign w:val="top"/>
          </w:tcPr>
          <w:p>
            <w:pPr>
              <w:bidi w:val="0"/>
              <w:spacing w:before="0" w:after="160" w:line="259" w:lineRule="auto"/>
              <w:ind w:left="0" w:right="0" w:firstLine="0"/>
              <w:jc w:val="left"/>
            </w:pPr>
          </w:p>
        </w:tc>
        <w:tc>
          <w:tcPr>
            <w:tcW w:w="1394" w:type="dxa"/>
            <w:gridSpan w:val="2"/>
            <w:tcBorders>
              <w:top w:val="double" w:sz="6" w:color="000000"/>
              <w:left w:val="nil"/>
              <w:bottom w:val="nil"/>
              <w:right w:val="nil"/>
            </w:tcBorders>
            <w:vAlign w:val="bottom"/>
          </w:tcPr>
          <w:p>
            <w:pPr>
              <w:spacing w:before="0" w:after="0" w:line="259" w:lineRule="auto"/>
              <w:ind w:left="0" w:right="0" w:firstLine="0"/>
              <w:jc w:val="left"/>
            </w:pPr>
            <w:r>
              <w:rPr>
                <w:rFonts w:cs="Calibri" w:hAnsi="Calibri" w:eastAsia="Calibri" w:ascii="Calibri"/>
                <w:b w:val="1"/>
                <w:sz w:val="19"/>
              </w:rPr>
              <w:t xml:space="preserve">SUBTOTAL:</w:t>
            </w:r>
          </w:p>
        </w:tc>
        <w:tc>
          <w:tcPr>
            <w:tcW w:w="887" w:type="dxa"/>
            <w:tcBorders>
              <w:top w:val="double" w:sz="6" w:color="000000"/>
              <w:left w:val="nil"/>
              <w:bottom w:val="nil"/>
              <w:right w:val="nil"/>
            </w:tcBorders>
            <w:vAlign w:val="top"/>
          </w:tcPr>
          <w:p>
            <w:pPr>
              <w:spacing w:before="0" w:after="6" w:line="259" w:lineRule="auto"/>
              <w:ind w:left="95" w:right="0" w:firstLine="0"/>
              <w:jc w:val="left"/>
            </w:pPr>
            <w:r>
              <w:rPr>
                <w:rFonts w:cs="Calibri" w:hAnsi="Calibri" w:eastAsia="Calibri" w:ascii="Calibri"/>
                <w:sz w:val="19"/>
              </w:rPr>
              <w:t xml:space="preserve">$9,000.00</w:t>
            </w:r>
          </w:p>
          <w:p>
            <w:pPr>
              <w:spacing w:before="0" w:after="0" w:line="259" w:lineRule="auto"/>
              <w:ind w:left="-2" w:right="0" w:firstLine="0"/>
            </w:pPr>
            <w:r>
              <w:rPr>
                <w:rFonts w:cs="Calibri" w:hAnsi="Calibri" w:eastAsia="Calibri" w:ascii="Calibri"/>
                <w:b w:val="1"/>
                <w:sz w:val="19"/>
              </w:rPr>
              <w:t xml:space="preserve">$46,500.00</w:t>
            </w:r>
          </w:p>
        </w:tc>
      </w:tr>
      <w:tr>
        <w:trPr>
          <w:trHeight w:val="256" w:hRule="atLeast"/>
        </w:trPr>
        <w:tc>
          <w:tcPr>
            <w:tcW w:w="8694" w:type="dxa"/>
            <w:gridSpan w:val="2"/>
            <w:tcBorders>
              <w:top w:val="nil"/>
              <w:left w:val="nil"/>
              <w:bottom w:val="nil"/>
              <w:right w:val="nil"/>
            </w:tcBorders>
            <w:shd w:val="clear" w:fill="dce6f1"/>
            <w:vAlign w:val="top"/>
          </w:tcPr>
          <w:p>
            <w:pPr>
              <w:tabs>
                <w:tab w:val="center" w:pos="457"/>
                <w:tab w:val="center" w:pos="3774"/>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1.1.2.	</w:t>
            </w:r>
            <w:r>
              <w:rPr>
                <w:rFonts w:cs="Calibri" w:hAnsi="Calibri" w:eastAsia="Calibri" w:ascii="Calibri"/>
                <w:b w:val="1"/>
                <w:sz w:val="19"/>
              </w:rPr>
              <w:t xml:space="preserve">Support7for7referendum7law7drafting7and7validation7by7key7stakeholders</w:t>
            </w:r>
          </w:p>
        </w:tc>
        <w:tc>
          <w:tcPr>
            <w:tcW w:w="1033"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065"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94" w:type="dxa"/>
            <w:gridSpan w:val="2"/>
            <w:tcBorders>
              <w:top w:val="nil"/>
              <w:left w:val="nil"/>
              <w:bottom w:val="nil"/>
              <w:right w:val="nil"/>
            </w:tcBorders>
            <w:shd w:val="clear" w:fill="dce6f1"/>
            <w:vAlign w:val="top"/>
          </w:tcPr>
          <w:p>
            <w:pPr>
              <w:bidi w:val="0"/>
              <w:spacing w:before="0" w:after="160" w:line="259" w:lineRule="auto"/>
              <w:ind w:left="0" w:right="0" w:firstLine="0"/>
              <w:jc w:val="left"/>
            </w:pPr>
          </w:p>
        </w:tc>
        <w:tc>
          <w:tcPr>
            <w:tcW w:w="887"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767" w:hRule="atLeast"/>
        </w:trPr>
        <w:tc>
          <w:tcPr>
            <w:tcW w:w="8694" w:type="dxa"/>
            <w:gridSpan w:val="2"/>
            <w:vMerge w:val="restart"/>
            <w:tcBorders>
              <w:top w:val="nil"/>
              <w:left w:val="nil"/>
              <w:bottom w:val="nil"/>
              <w:right w:val="nil"/>
            </w:tcBorders>
            <w:vAlign w:val="top"/>
          </w:tcPr>
          <w:p>
            <w:pPr>
              <w:tabs>
                <w:tab w:val="center" w:pos="6093"/>
              </w:tabs>
              <w:spacing w:before="0" w:after="23" w:line="259" w:lineRule="auto"/>
              <w:ind w:left="0" w:right="0" w:firstLine="0"/>
              <w:jc w:val="left"/>
            </w:pPr>
            <w:r>
              <w:rPr>
                <w:rFonts w:cs="Calibri" w:hAnsi="Calibri" w:eastAsia="Calibri" w:ascii="Calibri"/>
                <w:sz w:val="19"/>
              </w:rPr>
              <w:t xml:space="preserve">A.*Workshops*and*presentations*to*key*stakeholders.**	Workshop*costs</w:t>
            </w:r>
          </w:p>
          <w:p>
            <w:pPr>
              <w:spacing w:before="0" w:after="6" w:line="259" w:lineRule="auto"/>
              <w:ind w:left="5487" w:right="0" w:firstLine="0"/>
              <w:jc w:val="left"/>
            </w:pPr>
            <w:r>
              <w:rPr>
                <w:rFonts w:cs="Calibri" w:hAnsi="Calibri" w:eastAsia="Calibri" w:ascii="Calibri"/>
                <w:sz w:val="19"/>
              </w:rPr>
              <w:t xml:space="preserve">Supplies*&amp;*Materials</w:t>
            </w:r>
          </w:p>
          <w:p>
            <w:pPr>
              <w:spacing w:before="0" w:after="0" w:line="259" w:lineRule="auto"/>
              <w:ind w:left="2896" w:right="0" w:firstLine="0"/>
              <w:jc w:val="center"/>
            </w:pPr>
            <w:r>
              <w:rPr>
                <w:rFonts w:cs="Calibri" w:hAnsi="Calibri" w:eastAsia="Calibri" w:ascii="Calibri"/>
                <w:sz w:val="19"/>
              </w:rPr>
              <w:t xml:space="preserve">Printing</w:t>
            </w:r>
          </w:p>
        </w:tc>
        <w:tc>
          <w:tcPr>
            <w:tcW w:w="1033" w:type="dxa"/>
            <w:tcBorders>
              <w:top w:val="nil"/>
              <w:left w:val="nil"/>
              <w:bottom w:val="double" w:sz="6" w:color="000000"/>
              <w:right w:val="nil"/>
            </w:tcBorders>
            <w:vAlign w:val="top"/>
          </w:tcPr>
          <w:p>
            <w:pPr>
              <w:spacing w:before="0" w:after="6" w:line="259" w:lineRule="auto"/>
              <w:ind w:left="77" w:right="0" w:firstLine="0"/>
              <w:jc w:val="left"/>
            </w:pPr>
            <w:r>
              <w:rPr>
                <w:rFonts w:cs="Calibri" w:hAnsi="Calibri" w:eastAsia="Calibri" w:ascii="Calibri"/>
                <w:sz w:val="19"/>
              </w:rPr>
              <w:t xml:space="preserve">Ea.</w:t>
            </w:r>
          </w:p>
          <w:p>
            <w:pPr>
              <w:spacing w:before="0" w:after="6" w:line="259" w:lineRule="auto"/>
              <w:ind w:left="77" w:right="0" w:firstLine="0"/>
              <w:jc w:val="left"/>
            </w:pPr>
            <w:r>
              <w:rPr>
                <w:rFonts w:cs="Calibri" w:hAnsi="Calibri" w:eastAsia="Calibri" w:ascii="Calibri"/>
                <w:sz w:val="19"/>
              </w:rPr>
              <w:t xml:space="preserve">Ea.</w:t>
            </w:r>
          </w:p>
          <w:p>
            <w:pPr>
              <w:spacing w:before="0" w:after="0" w:line="259" w:lineRule="auto"/>
              <w:ind w:left="20" w:right="0" w:firstLine="0"/>
              <w:jc w:val="left"/>
            </w:pPr>
            <w:r>
              <w:rPr>
                <w:rFonts w:cs="Calibri" w:hAnsi="Calibri" w:eastAsia="Calibri" w:ascii="Calibri"/>
                <w:sz w:val="19"/>
              </w:rPr>
              <w:t xml:space="preserve">Pool</w:t>
            </w:r>
          </w:p>
        </w:tc>
        <w:tc>
          <w:tcPr>
            <w:tcW w:w="1065" w:type="dxa"/>
            <w:tcBorders>
              <w:top w:val="nil"/>
              <w:left w:val="nil"/>
              <w:bottom w:val="double" w:sz="6" w:color="000000"/>
              <w:right w:val="nil"/>
            </w:tcBorders>
            <w:vAlign w:val="top"/>
          </w:tcPr>
          <w:p>
            <w:pPr>
              <w:spacing w:before="0" w:after="6" w:line="259" w:lineRule="auto"/>
              <w:ind w:left="26" w:right="0" w:firstLine="0"/>
              <w:jc w:val="left"/>
            </w:pPr>
            <w:r>
              <w:rPr>
                <w:rFonts w:cs="Calibri" w:hAnsi="Calibri" w:eastAsia="Calibri" w:ascii="Calibri"/>
                <w:sz w:val="19"/>
              </w:rPr>
              <w:t xml:space="preserve">4</w:t>
            </w:r>
          </w:p>
          <w:p>
            <w:pPr>
              <w:spacing w:before="0" w:after="6" w:line="259" w:lineRule="auto"/>
              <w:ind w:left="26" w:right="0" w:firstLine="0"/>
              <w:jc w:val="left"/>
            </w:pPr>
            <w:r>
              <w:rPr>
                <w:rFonts w:cs="Calibri" w:hAnsi="Calibri" w:eastAsia="Calibri" w:ascii="Calibri"/>
                <w:sz w:val="19"/>
              </w:rPr>
              <w:t xml:space="preserve">4</w:t>
            </w:r>
          </w:p>
          <w:p>
            <w:pPr>
              <w:spacing w:before="0" w:after="0" w:line="259" w:lineRule="auto"/>
              <w:ind w:left="26" w:right="0" w:firstLine="0"/>
              <w:jc w:val="left"/>
            </w:pPr>
            <w:r>
              <w:rPr>
                <w:rFonts w:cs="Calibri" w:hAnsi="Calibri" w:eastAsia="Calibri" w:ascii="Calibri"/>
                <w:sz w:val="19"/>
              </w:rPr>
              <w:t xml:space="preserve">1</w:t>
            </w:r>
          </w:p>
        </w:tc>
        <w:tc>
          <w:tcPr>
            <w:tcW w:w="1394" w:type="dxa"/>
            <w:gridSpan w:val="2"/>
            <w:tcBorders>
              <w:top w:val="nil"/>
              <w:left w:val="nil"/>
              <w:bottom w:val="double" w:sz="6" w:color="000000"/>
              <w:right w:val="nil"/>
            </w:tcBorders>
            <w:vAlign w:val="top"/>
          </w:tcPr>
          <w:p>
            <w:pPr>
              <w:spacing w:before="0" w:after="6" w:line="259" w:lineRule="auto"/>
              <w:ind w:left="118" w:right="0" w:firstLine="0"/>
              <w:jc w:val="left"/>
            </w:pPr>
            <w:r>
              <w:rPr>
                <w:rFonts w:cs="Calibri" w:hAnsi="Calibri" w:eastAsia="Calibri" w:ascii="Calibri"/>
                <w:sz w:val="19"/>
              </w:rPr>
              <w:t xml:space="preserve">$2,500.00</w:t>
            </w:r>
          </w:p>
          <w:p>
            <w:pPr>
              <w:spacing w:before="0" w:after="0" w:line="259" w:lineRule="auto"/>
              <w:ind w:left="118" w:right="0" w:firstLine="142"/>
              <w:jc w:val="left"/>
            </w:pPr>
            <w:r>
              <w:rPr>
                <w:rFonts w:cs="Calibri" w:hAnsi="Calibri" w:eastAsia="Calibri" w:ascii="Calibri"/>
                <w:sz w:val="19"/>
              </w:rPr>
              <w:t xml:space="preserve">$500.00 $5,000.00</w:t>
            </w:r>
          </w:p>
        </w:tc>
        <w:tc>
          <w:tcPr>
            <w:tcW w:w="887" w:type="dxa"/>
            <w:tcBorders>
              <w:top w:val="nil"/>
              <w:left w:val="nil"/>
              <w:bottom w:val="double" w:sz="6" w:color="000000"/>
              <w:right w:val="nil"/>
            </w:tcBorders>
            <w:vAlign w:val="top"/>
          </w:tcPr>
          <w:p>
            <w:pPr>
              <w:spacing w:before="0" w:after="0" w:line="265" w:lineRule="auto"/>
              <w:ind w:left="0" w:right="12" w:firstLine="0"/>
              <w:jc w:val="right"/>
            </w:pPr>
            <w:r>
              <w:rPr>
                <w:rFonts w:cs="Calibri" w:hAnsi="Calibri" w:eastAsia="Calibri" w:ascii="Calibri"/>
                <w:sz w:val="19"/>
              </w:rPr>
              <w:t xml:space="preserve">$10,000.00 $2,000.00</w:t>
            </w:r>
          </w:p>
          <w:p>
            <w:pPr>
              <w:spacing w:before="0" w:after="0" w:line="259" w:lineRule="auto"/>
              <w:ind w:left="95" w:right="0" w:firstLine="0"/>
              <w:jc w:val="left"/>
            </w:pPr>
            <w:r>
              <w:rPr>
                <w:rFonts w:cs="Calibri" w:hAnsi="Calibri" w:eastAsia="Calibri" w:ascii="Calibri"/>
                <w:sz w:val="19"/>
              </w:rPr>
              <w:t xml:space="preserve">$5,000.00</w:t>
            </w:r>
          </w:p>
        </w:tc>
      </w:tr>
      <w:tr>
        <w:trPr>
          <w:trHeight w:val="268" w:hRule="atLeast"/>
        </w:trPr>
        <w:tc>
          <w:tcPr>
            <w:gridSpan w:val="2"/>
            <w:vMerge w:val="continue"/>
            <w:tcBorders>
              <w:top w:val="nil"/>
              <w:left w:val="nil"/>
              <w:bottom w:val="nil"/>
              <w:right w:val="nil"/>
            </w:tcBorders>
            <w:vAlign w:val="top"/>
          </w:tcPr>
          <w:p>
            <w:pPr>
              <w:bidi w:val="0"/>
              <w:spacing w:before="0" w:after="160" w:line="259" w:lineRule="auto"/>
              <w:ind w:left="0" w:right="0" w:firstLine="0"/>
              <w:jc w:val="left"/>
            </w:pPr>
          </w:p>
        </w:tc>
        <w:tc>
          <w:tcPr>
            <w:tcW w:w="1033" w:type="dxa"/>
            <w:tcBorders>
              <w:top w:val="double" w:sz="6" w:color="000000"/>
              <w:left w:val="nil"/>
              <w:bottom w:val="nil"/>
              <w:right w:val="nil"/>
            </w:tcBorders>
            <w:vAlign w:val="top"/>
          </w:tcPr>
          <w:p>
            <w:pPr>
              <w:bidi w:val="0"/>
              <w:spacing w:before="0" w:after="160" w:line="259" w:lineRule="auto"/>
              <w:ind w:left="0" w:right="0" w:firstLine="0"/>
              <w:jc w:val="left"/>
            </w:pPr>
          </w:p>
        </w:tc>
        <w:tc>
          <w:tcPr>
            <w:tcW w:w="1065" w:type="dxa"/>
            <w:tcBorders>
              <w:top w:val="double" w:sz="6" w:color="000000"/>
              <w:left w:val="nil"/>
              <w:bottom w:val="nil"/>
              <w:right w:val="nil"/>
            </w:tcBorders>
            <w:vAlign w:val="top"/>
          </w:tcPr>
          <w:p>
            <w:pPr>
              <w:bidi w:val="0"/>
              <w:spacing w:before="0" w:after="160" w:line="259" w:lineRule="auto"/>
              <w:ind w:left="0" w:right="0" w:firstLine="0"/>
              <w:jc w:val="left"/>
            </w:pPr>
          </w:p>
        </w:tc>
        <w:tc>
          <w:tcPr>
            <w:tcW w:w="1394" w:type="dxa"/>
            <w:gridSpan w:val="2"/>
            <w:tcBorders>
              <w:top w:val="double" w:sz="6" w:color="000000"/>
              <w:left w:val="nil"/>
              <w:bottom w:val="nil"/>
              <w:right w:val="nil"/>
            </w:tcBorders>
            <w:vAlign w:val="top"/>
          </w:tcPr>
          <w:p>
            <w:pPr>
              <w:spacing w:before="0" w:after="0" w:line="259" w:lineRule="auto"/>
              <w:ind w:left="0" w:right="0" w:firstLine="0"/>
              <w:jc w:val="left"/>
            </w:pPr>
            <w:r>
              <w:rPr>
                <w:rFonts w:cs="Calibri" w:hAnsi="Calibri" w:eastAsia="Calibri" w:ascii="Calibri"/>
                <w:b w:val="1"/>
                <w:sz w:val="19"/>
              </w:rPr>
              <w:t xml:space="preserve">SUBTOTAL:</w:t>
            </w:r>
          </w:p>
        </w:tc>
        <w:tc>
          <w:tcPr>
            <w:tcW w:w="887" w:type="dxa"/>
            <w:tcBorders>
              <w:top w:val="double" w:sz="6" w:color="000000"/>
              <w:left w:val="nil"/>
              <w:bottom w:val="nil"/>
              <w:right w:val="nil"/>
            </w:tcBorders>
            <w:vAlign w:val="top"/>
          </w:tcPr>
          <w:p>
            <w:pPr>
              <w:spacing w:before="0" w:after="0" w:line="259" w:lineRule="auto"/>
              <w:ind w:left="-2" w:right="0" w:firstLine="0"/>
            </w:pPr>
            <w:r>
              <w:rPr>
                <w:rFonts w:cs="Calibri" w:hAnsi="Calibri" w:eastAsia="Calibri" w:ascii="Calibri"/>
                <w:b w:val="1"/>
                <w:sz w:val="19"/>
              </w:rPr>
              <w:t xml:space="preserve">$17,000.00</w:t>
            </w:r>
          </w:p>
        </w:tc>
      </w:tr>
      <w:tr>
        <w:trPr>
          <w:trHeight w:val="507" w:hRule="atLeast"/>
        </w:trPr>
        <w:tc>
          <w:tcPr>
            <w:tcW w:w="5431" w:type="dxa"/>
            <w:tcBorders>
              <w:top w:val="nil"/>
              <w:left w:val="nil"/>
              <w:bottom w:val="nil"/>
              <w:right w:val="nil"/>
            </w:tcBorders>
            <w:shd w:val="clear" w:fill="dce6f1"/>
            <w:vAlign w:val="top"/>
          </w:tcPr>
          <w:p>
            <w:pPr>
              <w:spacing w:before="0" w:after="0" w:line="259" w:lineRule="auto"/>
              <w:ind w:left="928" w:right="0" w:hanging="687"/>
              <w:jc w:val="left"/>
            </w:pPr>
            <w:r>
              <w:rPr>
                <w:rFonts w:cs="Calibri" w:hAnsi="Calibri" w:eastAsia="Calibri" w:ascii="Calibri"/>
                <w:b w:val="1"/>
                <w:sz w:val="19"/>
              </w:rPr>
              <w:t xml:space="preserve">1.1.3.	</w:t>
            </w:r>
            <w:r>
              <w:rPr>
                <w:rFonts w:cs="Calibri" w:hAnsi="Calibri" w:eastAsia="Calibri" w:ascii="Calibri"/>
                <w:b w:val="1"/>
                <w:sz w:val="19"/>
              </w:rPr>
              <w:t xml:space="preserve">7Support7the7Registrar7of7Political7Parties7(RPP)7to7make7in democratic7functioning7of7political7parties7</w:t>
            </w:r>
          </w:p>
        </w:tc>
        <w:tc>
          <w:tcPr>
            <w:tcW w:w="4296" w:type="dxa"/>
            <w:gridSpan w:val="2"/>
            <w:tcBorders>
              <w:top w:val="nil"/>
              <w:left w:val="nil"/>
              <w:bottom w:val="nil"/>
              <w:right w:val="nil"/>
            </w:tcBorders>
            <w:shd w:val="clear" w:fill="dce6f1"/>
            <w:vAlign w:val="top"/>
          </w:tcPr>
          <w:p>
            <w:pPr>
              <w:spacing w:before="0" w:after="0" w:line="259" w:lineRule="auto"/>
              <w:ind w:left="-29" w:right="0" w:firstLine="0"/>
            </w:pPr>
            <w:r>
              <w:rPr>
                <w:rFonts w:cs="Calibri" w:hAnsi="Calibri" w:eastAsia="Calibri" w:ascii="Calibri"/>
                <w:b w:val="1"/>
                <w:sz w:val="19"/>
              </w:rPr>
              <w:t xml:space="preserve">puts7to7the7constitutional7review7process7in7order7to7im</w:t>
            </w:r>
          </w:p>
        </w:tc>
        <w:tc>
          <w:tcPr>
            <w:tcW w:w="1183" w:type="dxa"/>
            <w:gridSpan w:val="2"/>
            <w:tcBorders>
              <w:top w:val="nil"/>
              <w:left w:val="nil"/>
              <w:bottom w:val="nil"/>
              <w:right w:val="nil"/>
            </w:tcBorders>
            <w:shd w:val="clear" w:fill="dce6f1"/>
            <w:vAlign w:val="top"/>
          </w:tcPr>
          <w:p>
            <w:pPr>
              <w:spacing w:before="0" w:after="0" w:line="259" w:lineRule="auto"/>
              <w:ind w:left="-52" w:right="0" w:firstLine="0"/>
            </w:pPr>
            <w:r>
              <w:rPr>
                <w:rFonts w:cs="Calibri" w:hAnsi="Calibri" w:eastAsia="Calibri" w:ascii="Calibri"/>
                <w:b w:val="1"/>
                <w:sz w:val="19"/>
              </w:rPr>
              <w:t xml:space="preserve">prove7the7legisl</w:t>
            </w:r>
          </w:p>
        </w:tc>
        <w:tc>
          <w:tcPr>
            <w:tcW w:w="1277" w:type="dxa"/>
            <w:tcBorders>
              <w:top w:val="nil"/>
              <w:left w:val="nil"/>
              <w:bottom w:val="nil"/>
              <w:right w:val="nil"/>
            </w:tcBorders>
            <w:shd w:val="clear" w:fill="dce6f1"/>
            <w:vAlign w:val="top"/>
          </w:tcPr>
          <w:p>
            <w:pPr>
              <w:spacing w:before="0" w:after="0" w:line="259" w:lineRule="auto"/>
              <w:ind w:left="-48" w:right="0" w:firstLine="0"/>
            </w:pPr>
            <w:r>
              <w:rPr>
                <w:rFonts w:cs="Calibri" w:hAnsi="Calibri" w:eastAsia="Calibri" w:ascii="Calibri"/>
                <w:b w:val="1"/>
                <w:sz w:val="19"/>
              </w:rPr>
              <w:t xml:space="preserve">ative7framework</w:t>
            </w:r>
          </w:p>
        </w:tc>
        <w:tc>
          <w:tcPr>
            <w:tcW w:w="887" w:type="dxa"/>
            <w:tcBorders>
              <w:top w:val="nil"/>
              <w:left w:val="nil"/>
              <w:bottom w:val="nil"/>
              <w:right w:val="nil"/>
            </w:tcBorders>
            <w:shd w:val="clear" w:fill="dce6f1"/>
            <w:vAlign w:val="top"/>
          </w:tcPr>
          <w:p>
            <w:pPr>
              <w:spacing w:before="0" w:after="0" w:line="259" w:lineRule="auto"/>
              <w:ind w:left="-38" w:right="0" w:firstLine="0"/>
              <w:jc w:val="left"/>
            </w:pPr>
            <w:r>
              <w:rPr>
                <w:rFonts w:cs="Calibri" w:hAnsi="Calibri" w:eastAsia="Calibri" w:ascii="Calibri"/>
                <w:sz w:val="22"/>
              </w:rPr>
              <w:drawing>
                <wp:inline distT="0" distB="0" distL="0" distR="0">
                  <wp:extent cx="26795" cy="144727"/>
                  <wp:docPr id="135625" name="Group 135625"/>
                  <wp:cNvGraphicFramePr/>
                  <a:graphic>
                    <a:graphicData uri="http://schemas.microsoft.com/office/word/2010/wordprocessingGroup">
                      <wpg:wgp>
                        <wpg:cNvGrpSpPr/>
                        <wpg:grpSpPr>
                          <a:xfrm>
                            <a:off x="0" y="0"/>
                            <a:ext cx="26795" cy="144727"/>
                            <a:chOff x="0" y="0"/>
                            <a:chExt cx="26795" cy="144727"/>
                          </a:xfrm>
                        </wpg:grpSpPr>
                        <wps:wsp>
                          <wps:cNvPr id="135602" name="Rectangle 135602"/>
                          <wps:cNvSpPr/>
                          <wps:spPr>
                            <a:xfrm>
                              <a:off x="0" y="0"/>
                              <a:ext cx="35638" cy="192487"/>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9"/>
                                  </w:rPr>
                                  <w:t xml:space="preserve">7</w:t>
                                </w:r>
                              </w:p>
                            </w:txbxContent>
                          </wps:txbx>
                          <wps:bodyPr horzOverflow="overflow" rtlCol="0" vert="horz" lIns="0" tIns="0" rIns="0" bIns="0">
                            <a:noAutofit/>
                          </wps:bodyPr>
                        </wps:wsp>
                      </wpg:wgp>
                    </a:graphicData>
                  </a:graphic>
                </wp:inline>
              </w:drawing>
            </w:r>
            <w:r>
              <w:rPr>
                <w:rFonts w:cs="Calibri" w:hAnsi="Calibri" w:eastAsia="Calibri" w:ascii="Calibri"/>
                <w:b w:val="1"/>
                <w:sz w:val="19"/>
              </w:rPr>
              <w:t xml:space="preserve">for7</w:t>
            </w:r>
          </w:p>
        </w:tc>
      </w:tr>
      <w:tr>
        <w:trPr>
          <w:trHeight w:val="1798" w:hRule="atLeast"/>
        </w:trPr>
        <w:tc>
          <w:tcPr>
            <w:tcW w:w="5431" w:type="dxa"/>
            <w:vMerge w:val="restart"/>
            <w:tcBorders>
              <w:top w:val="nil"/>
              <w:left w:val="nil"/>
              <w:bottom w:val="nil"/>
              <w:right w:val="nil"/>
            </w:tcBorders>
            <w:vAlign w:val="top"/>
          </w:tcPr>
          <w:p>
            <w:pPr>
              <w:spacing w:before="0" w:after="1603" w:line="252" w:lineRule="auto"/>
              <w:ind w:left="31" w:right="0" w:firstLine="2"/>
              <w:jc w:val="left"/>
            </w:pPr>
            <w:r>
              <w:rPr>
                <w:rFonts w:cs="Calibri" w:hAnsi="Calibri" w:eastAsia="Calibri" w:ascii="Calibri"/>
                <w:sz w:val="19"/>
              </w:rPr>
              <w:t xml:space="preserve">*A.*Workshop*on*political*party*legislation*is*held*with*participation* from*other*EMBs/Political*Party*Registrars*in*the*region*(Kenya,* Uganda,*South*Africa)*</w:t>
            </w:r>
          </w:p>
          <w:p>
            <w:pPr>
              <w:spacing w:before="0" w:after="0" w:line="259" w:lineRule="auto"/>
              <w:ind w:left="32" w:right="0" w:firstLine="0"/>
              <w:jc w:val="left"/>
            </w:pPr>
            <w:r>
              <w:rPr>
                <w:rFonts w:cs="Calibri" w:hAnsi="Calibri" w:eastAsia="Calibri" w:ascii="Calibri"/>
                <w:sz w:val="19"/>
              </w:rPr>
              <w:t xml:space="preserve">*B.**Dialogs*are*held*with*political*parties*and*civil*society**</w:t>
            </w:r>
          </w:p>
        </w:tc>
        <w:tc>
          <w:tcPr>
            <w:tcW w:w="4296" w:type="dxa"/>
            <w:gridSpan w:val="2"/>
            <w:tcBorders>
              <w:top w:val="nil"/>
              <w:left w:val="nil"/>
              <w:bottom w:val="nil"/>
              <w:right w:val="nil"/>
            </w:tcBorders>
            <w:vAlign w:val="top"/>
          </w:tcPr>
          <w:p>
            <w:pPr>
              <w:spacing w:before="0" w:after="6" w:line="271" w:lineRule="auto"/>
              <w:ind w:left="0" w:right="0" w:firstLine="0"/>
              <w:jc w:val="left"/>
            </w:pPr>
            <w:r>
              <w:rPr>
                <w:rFonts w:cs="Calibri" w:hAnsi="Calibri" w:eastAsia="Calibri" w:ascii="Calibri"/>
                <w:sz w:val="19"/>
              </w:rPr>
              <w:t xml:space="preserve">*Intl.*Consultant*8*Political*Party*Law*	Days *Consultant**DSA*	Days *Consultant*Air*Fare*	Ea.</w:t>
            </w:r>
          </w:p>
          <w:p>
            <w:pPr>
              <w:spacing w:before="0" w:after="18" w:line="259" w:lineRule="auto"/>
              <w:ind w:left="0" w:right="707" w:firstLine="57"/>
            </w:pPr>
            <w:r>
              <w:rPr>
                <w:rFonts w:cs="Calibri" w:hAnsi="Calibri" w:eastAsia="Calibri" w:ascii="Calibri"/>
                <w:sz w:val="19"/>
              </w:rPr>
              <w:t xml:space="preserve">Honoraria*for*Participants Ea. *Airfare*for*Participants* Ea. *DSA*for*Participants* Ea.</w:t>
            </w:r>
          </w:p>
          <w:p>
            <w:pPr>
              <w:tabs>
                <w:tab w:val="center" w:pos="3452"/>
              </w:tabs>
              <w:spacing w:before="0" w:after="0" w:line="259" w:lineRule="auto"/>
              <w:ind w:left="0" w:right="0" w:firstLine="0"/>
              <w:jc w:val="left"/>
            </w:pPr>
            <w:r>
              <w:rPr>
                <w:rFonts w:cs="Calibri" w:hAnsi="Calibri" w:eastAsia="Calibri" w:ascii="Calibri"/>
                <w:sz w:val="19"/>
              </w:rPr>
              <w:t xml:space="preserve">*Meeting*Costs*	Pool</w:t>
            </w:r>
          </w:p>
        </w:tc>
        <w:tc>
          <w:tcPr>
            <w:tcW w:w="1183" w:type="dxa"/>
            <w:gridSpan w:val="2"/>
            <w:tcBorders>
              <w:top w:val="nil"/>
              <w:left w:val="nil"/>
              <w:bottom w:val="double" w:sz="6" w:color="000000"/>
              <w:right w:val="nil"/>
            </w:tcBorders>
            <w:vAlign w:val="top"/>
          </w:tcPr>
          <w:p>
            <w:pPr>
              <w:spacing w:before="0" w:after="18" w:line="259" w:lineRule="auto"/>
              <w:ind w:left="-22" w:right="0" w:firstLine="0"/>
              <w:jc w:val="left"/>
            </w:pPr>
            <w:r>
              <w:rPr>
                <w:rFonts w:cs="Calibri" w:hAnsi="Calibri" w:eastAsia="Calibri" w:ascii="Calibri"/>
                <w:sz w:val="19"/>
              </w:rPr>
              <w:t xml:space="preserve">15</w:t>
            </w:r>
          </w:p>
          <w:p>
            <w:pPr>
              <w:spacing w:before="0" w:after="6" w:line="259" w:lineRule="auto"/>
              <w:ind w:left="-22" w:right="0" w:firstLine="0"/>
              <w:jc w:val="left"/>
            </w:pPr>
            <w:r>
              <w:rPr>
                <w:rFonts w:cs="Calibri" w:hAnsi="Calibri" w:eastAsia="Calibri" w:ascii="Calibri"/>
                <w:sz w:val="19"/>
              </w:rPr>
              <w:t xml:space="preserve">22</w:t>
            </w:r>
          </w:p>
          <w:p>
            <w:pPr>
              <w:spacing w:before="0" w:after="18" w:line="259" w:lineRule="auto"/>
              <w:ind w:left="22" w:right="0" w:firstLine="0"/>
              <w:jc w:val="left"/>
            </w:pPr>
            <w:r>
              <w:rPr>
                <w:rFonts w:cs="Calibri" w:hAnsi="Calibri" w:eastAsia="Calibri" w:ascii="Calibri"/>
                <w:sz w:val="19"/>
              </w:rPr>
              <w:t xml:space="preserve">1</w:t>
            </w:r>
          </w:p>
          <w:p>
            <w:pPr>
              <w:spacing w:before="0" w:after="0" w:line="259" w:lineRule="auto"/>
              <w:ind w:left="26" w:right="0" w:firstLine="0"/>
              <w:jc w:val="left"/>
            </w:pPr>
            <w:r>
              <w:rPr>
                <w:rFonts w:cs="Calibri" w:hAnsi="Calibri" w:eastAsia="Calibri" w:ascii="Calibri"/>
                <w:sz w:val="19"/>
              </w:rPr>
              <w:t xml:space="preserve">5</w:t>
            </w:r>
          </w:p>
          <w:p>
            <w:pPr>
              <w:spacing w:before="0" w:after="6" w:line="259" w:lineRule="auto"/>
              <w:ind w:left="22" w:right="0" w:firstLine="0"/>
              <w:jc w:val="left"/>
            </w:pPr>
            <w:r>
              <w:rPr>
                <w:rFonts w:cs="Calibri" w:hAnsi="Calibri" w:eastAsia="Calibri" w:ascii="Calibri"/>
                <w:sz w:val="19"/>
              </w:rPr>
              <w:t xml:space="preserve">5</w:t>
            </w:r>
          </w:p>
          <w:p>
            <w:pPr>
              <w:spacing w:before="0" w:after="18" w:line="259" w:lineRule="auto"/>
              <w:ind w:left="-22" w:right="0" w:firstLine="0"/>
              <w:jc w:val="left"/>
            </w:pPr>
            <w:r>
              <w:rPr>
                <w:rFonts w:cs="Calibri" w:hAnsi="Calibri" w:eastAsia="Calibri" w:ascii="Calibri"/>
                <w:sz w:val="19"/>
              </w:rPr>
              <w:t xml:space="preserve">20</w:t>
            </w:r>
          </w:p>
          <w:p>
            <w:pPr>
              <w:spacing w:before="0" w:after="0" w:line="259" w:lineRule="auto"/>
              <w:ind w:left="22" w:right="0" w:firstLine="0"/>
              <w:jc w:val="left"/>
            </w:pPr>
            <w:r>
              <w:rPr>
                <w:rFonts w:cs="Calibri" w:hAnsi="Calibri" w:eastAsia="Calibri" w:ascii="Calibri"/>
                <w:sz w:val="19"/>
              </w:rPr>
              <w:t xml:space="preserve">1</w:t>
            </w:r>
          </w:p>
        </w:tc>
        <w:tc>
          <w:tcPr>
            <w:tcW w:w="1277" w:type="dxa"/>
            <w:tcBorders>
              <w:top w:val="nil"/>
              <w:left w:val="nil"/>
              <w:bottom w:val="double" w:sz="6" w:color="000000"/>
              <w:right w:val="nil"/>
            </w:tcBorders>
            <w:vAlign w:val="top"/>
          </w:tcPr>
          <w:p>
            <w:pPr>
              <w:spacing w:before="0" w:after="18" w:line="259" w:lineRule="auto"/>
              <w:ind w:left="154" w:right="0" w:firstLine="0"/>
              <w:jc w:val="left"/>
            </w:pPr>
            <w:r>
              <w:rPr>
                <w:rFonts w:cs="Calibri" w:hAnsi="Calibri" w:eastAsia="Calibri" w:ascii="Calibri"/>
                <w:sz w:val="19"/>
              </w:rPr>
              <w:t xml:space="preserve">$750.00</w:t>
            </w:r>
          </w:p>
          <w:p>
            <w:pPr>
              <w:spacing w:before="0" w:after="6" w:line="259" w:lineRule="auto"/>
              <w:ind w:left="154" w:right="0" w:firstLine="0"/>
              <w:jc w:val="left"/>
            </w:pPr>
            <w:r>
              <w:rPr>
                <w:rFonts w:cs="Calibri" w:hAnsi="Calibri" w:eastAsia="Calibri" w:ascii="Calibri"/>
                <w:sz w:val="19"/>
              </w:rPr>
              <w:t xml:space="preserve">$216.00</w:t>
            </w:r>
          </w:p>
          <w:p>
            <w:pPr>
              <w:spacing w:before="0" w:after="0" w:line="278" w:lineRule="auto"/>
              <w:ind w:left="142" w:right="0" w:hanging="130"/>
              <w:jc w:val="left"/>
            </w:pPr>
            <w:r>
              <w:rPr>
                <w:rFonts w:cs="Calibri" w:hAnsi="Calibri" w:eastAsia="Calibri" w:ascii="Calibri"/>
                <w:sz w:val="19"/>
              </w:rPr>
              <w:t xml:space="preserve">$2,000.00 $500.00</w:t>
            </w:r>
          </w:p>
          <w:p>
            <w:pPr>
              <w:spacing w:before="0" w:after="6" w:line="259" w:lineRule="auto"/>
              <w:ind w:left="154" w:right="0" w:firstLine="0"/>
              <w:jc w:val="left"/>
            </w:pPr>
            <w:r>
              <w:rPr>
                <w:rFonts w:cs="Calibri" w:hAnsi="Calibri" w:eastAsia="Calibri" w:ascii="Calibri"/>
                <w:sz w:val="19"/>
              </w:rPr>
              <w:t xml:space="preserve">$500.00</w:t>
            </w:r>
          </w:p>
          <w:p>
            <w:pPr>
              <w:spacing w:before="0" w:after="0" w:line="259" w:lineRule="auto"/>
              <w:ind w:left="12" w:right="0" w:firstLine="142"/>
              <w:jc w:val="left"/>
            </w:pPr>
            <w:r>
              <w:rPr>
                <w:rFonts w:cs="Calibri" w:hAnsi="Calibri" w:eastAsia="Calibri" w:ascii="Calibri"/>
                <w:sz w:val="19"/>
              </w:rPr>
              <w:t xml:space="preserve">$216.00 $5,000.00</w:t>
            </w:r>
          </w:p>
        </w:tc>
        <w:tc>
          <w:tcPr>
            <w:tcW w:w="887" w:type="dxa"/>
            <w:tcBorders>
              <w:top w:val="nil"/>
              <w:left w:val="nil"/>
              <w:bottom w:val="double" w:sz="6" w:color="000000"/>
              <w:right w:val="nil"/>
            </w:tcBorders>
            <w:vAlign w:val="top"/>
          </w:tcPr>
          <w:p>
            <w:pPr>
              <w:spacing w:before="0" w:after="0" w:line="278" w:lineRule="auto"/>
              <w:ind w:left="0" w:right="0" w:firstLine="0"/>
              <w:jc w:val="right"/>
            </w:pPr>
            <w:r>
              <w:rPr>
                <w:rFonts w:cs="Calibri" w:hAnsi="Calibri" w:eastAsia="Calibri" w:ascii="Calibri"/>
                <w:sz w:val="19"/>
              </w:rPr>
              <w:t xml:space="preserve">$11,250.00 $4,752.00</w:t>
            </w:r>
          </w:p>
          <w:p>
            <w:pPr>
              <w:spacing w:before="0" w:after="18" w:line="259" w:lineRule="auto"/>
              <w:ind w:left="108" w:right="0" w:firstLine="0"/>
              <w:jc w:val="left"/>
            </w:pPr>
            <w:r>
              <w:rPr>
                <w:rFonts w:cs="Calibri" w:hAnsi="Calibri" w:eastAsia="Calibri" w:ascii="Calibri"/>
                <w:sz w:val="19"/>
              </w:rPr>
              <w:t xml:space="preserve">$2,000.00</w:t>
            </w:r>
          </w:p>
          <w:p>
            <w:pPr>
              <w:spacing w:before="0" w:after="0" w:line="259" w:lineRule="auto"/>
              <w:ind w:left="95" w:right="0" w:firstLine="0"/>
              <w:jc w:val="left"/>
            </w:pPr>
            <w:r>
              <w:rPr>
                <w:rFonts w:cs="Calibri" w:hAnsi="Calibri" w:eastAsia="Calibri" w:ascii="Calibri"/>
                <w:sz w:val="19"/>
              </w:rPr>
              <w:t xml:space="preserve">$2,500.00</w:t>
            </w:r>
          </w:p>
          <w:p>
            <w:pPr>
              <w:spacing w:before="0" w:after="6" w:line="259" w:lineRule="auto"/>
              <w:ind w:left="108" w:right="0" w:firstLine="0"/>
              <w:jc w:val="left"/>
            </w:pPr>
            <w:r>
              <w:rPr>
                <w:rFonts w:cs="Calibri" w:hAnsi="Calibri" w:eastAsia="Calibri" w:ascii="Calibri"/>
                <w:sz w:val="19"/>
              </w:rPr>
              <w:t xml:space="preserve">$2,500.00</w:t>
            </w:r>
          </w:p>
          <w:p>
            <w:pPr>
              <w:spacing w:before="0" w:after="0" w:line="259" w:lineRule="auto"/>
              <w:ind w:left="0" w:right="0" w:firstLine="0"/>
              <w:jc w:val="center"/>
            </w:pPr>
            <w:r>
              <w:rPr>
                <w:rFonts w:cs="Calibri" w:hAnsi="Calibri" w:eastAsia="Calibri" w:ascii="Calibri"/>
                <w:sz w:val="19"/>
              </w:rPr>
              <w:t xml:space="preserve">$4,320.00 $5,000.00</w:t>
            </w:r>
          </w:p>
        </w:tc>
      </w:tr>
      <w:tr>
        <w:trPr>
          <w:trHeight w:val="1051"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tcW w:w="4296" w:type="dxa"/>
            <w:gridSpan w:val="2"/>
            <w:tcBorders>
              <w:top w:val="nil"/>
              <w:left w:val="nil"/>
              <w:bottom w:val="nil"/>
              <w:right w:val="nil"/>
            </w:tcBorders>
            <w:vAlign w:val="bottom"/>
          </w:tcPr>
          <w:p>
            <w:pPr>
              <w:spacing w:before="0" w:after="0" w:line="259" w:lineRule="auto"/>
              <w:ind w:left="57" w:right="0" w:firstLine="0"/>
            </w:pPr>
            <w:r>
              <w:rPr>
                <w:rFonts w:cs="Calibri" w:hAnsi="Calibri" w:eastAsia="Calibri" w:ascii="Calibri"/>
                <w:sz w:val="19"/>
              </w:rPr>
              <w:t xml:space="preserve">Poltiical*Party*Dialogs Pool Civil*Society*Dialogs Pool</w:t>
            </w:r>
          </w:p>
        </w:tc>
        <w:tc>
          <w:tcPr>
            <w:tcW w:w="1183" w:type="dxa"/>
            <w:gridSpan w:val="2"/>
            <w:tcBorders>
              <w:top w:val="double" w:sz="6" w:color="000000"/>
              <w:left w:val="nil"/>
              <w:bottom w:val="double" w:sz="6" w:color="000000"/>
              <w:right w:val="nil"/>
            </w:tcBorders>
            <w:vAlign w:val="bottom"/>
          </w:tcPr>
          <w:p>
            <w:pPr>
              <w:spacing w:before="0" w:after="6" w:line="259" w:lineRule="auto"/>
              <w:ind w:left="26" w:right="0" w:firstLine="0"/>
              <w:jc w:val="left"/>
            </w:pPr>
            <w:r>
              <w:rPr>
                <w:rFonts w:cs="Calibri" w:hAnsi="Calibri" w:eastAsia="Calibri" w:ascii="Calibri"/>
                <w:sz w:val="19"/>
              </w:rPr>
              <w:t xml:space="preserve">4</w:t>
            </w:r>
          </w:p>
          <w:p>
            <w:pPr>
              <w:spacing w:before="0" w:after="0" w:line="259" w:lineRule="auto"/>
              <w:ind w:left="26" w:right="0" w:firstLine="0"/>
              <w:jc w:val="left"/>
            </w:pPr>
            <w:r>
              <w:rPr>
                <w:rFonts w:cs="Calibri" w:hAnsi="Calibri" w:eastAsia="Calibri" w:ascii="Calibri"/>
                <w:sz w:val="19"/>
              </w:rPr>
              <w:t xml:space="preserve">4</w:t>
            </w:r>
          </w:p>
        </w:tc>
        <w:tc>
          <w:tcPr>
            <w:tcW w:w="1277" w:type="dxa"/>
            <w:tcBorders>
              <w:top w:val="double" w:sz="6" w:color="000000"/>
              <w:left w:val="nil"/>
              <w:bottom w:val="double" w:sz="6" w:color="000000"/>
              <w:right w:val="nil"/>
            </w:tcBorders>
            <w:vAlign w:val="bottom"/>
          </w:tcPr>
          <w:p>
            <w:pPr>
              <w:spacing w:before="0" w:after="6" w:line="259" w:lineRule="auto"/>
              <w:ind w:left="0" w:right="0" w:firstLine="0"/>
              <w:jc w:val="left"/>
            </w:pPr>
            <w:r>
              <w:rPr>
                <w:rFonts w:cs="Calibri" w:hAnsi="Calibri" w:eastAsia="Calibri" w:ascii="Calibri"/>
                <w:sz w:val="19"/>
              </w:rPr>
              <w:t xml:space="preserve">$2,500.00</w:t>
            </w:r>
          </w:p>
          <w:p>
            <w:pPr>
              <w:spacing w:before="0" w:after="0" w:line="259" w:lineRule="auto"/>
              <w:ind w:left="0" w:right="0" w:firstLine="0"/>
              <w:jc w:val="left"/>
            </w:pPr>
            <w:r>
              <w:rPr>
                <w:rFonts w:cs="Calibri" w:hAnsi="Calibri" w:eastAsia="Calibri" w:ascii="Calibri"/>
                <w:sz w:val="19"/>
              </w:rPr>
              <w:t xml:space="preserve">$2,500.00</w:t>
            </w:r>
          </w:p>
        </w:tc>
        <w:tc>
          <w:tcPr>
            <w:tcW w:w="887" w:type="dxa"/>
            <w:tcBorders>
              <w:top w:val="double" w:sz="6" w:color="000000"/>
              <w:left w:val="nil"/>
              <w:bottom w:val="double" w:sz="6" w:color="000000"/>
              <w:right w:val="nil"/>
            </w:tcBorders>
            <w:vAlign w:val="top"/>
          </w:tcPr>
          <w:p>
            <w:pPr>
              <w:spacing w:before="0" w:after="245" w:line="259" w:lineRule="auto"/>
              <w:ind w:left="2" w:right="0" w:firstLine="0"/>
            </w:pPr>
            <w:r>
              <w:rPr>
                <w:rFonts w:cs="Calibri" w:hAnsi="Calibri" w:eastAsia="Calibri" w:ascii="Calibri"/>
                <w:sz w:val="19"/>
              </w:rPr>
              <w:t xml:space="preserve">$32,322.00</w:t>
            </w:r>
          </w:p>
          <w:p>
            <w:pPr>
              <w:spacing w:before="0" w:after="0" w:line="259" w:lineRule="auto"/>
              <w:ind w:left="14" w:right="0" w:firstLine="0"/>
              <w:jc w:val="left"/>
            </w:pPr>
            <w:r>
              <w:rPr>
                <w:rFonts w:cs="Calibri" w:hAnsi="Calibri" w:eastAsia="Calibri" w:ascii="Calibri"/>
                <w:sz w:val="19"/>
              </w:rPr>
              <w:t xml:space="preserve">$10,000.00 $10,000.00</w:t>
            </w:r>
          </w:p>
        </w:tc>
      </w:tr>
    </w:tbl>
    <w:p>
      <w:pPr>
        <w:spacing w:before="0" w:after="5" w:line="259" w:lineRule="auto"/>
        <w:ind w:left="10" w:right="-15"/>
        <w:jc w:val="right"/>
      </w:pPr>
      <w:r>
        <w:rPr>
          <w:rFonts w:cs="Calibri" w:hAnsi="Calibri" w:eastAsia="Calibri" w:ascii="Calibri"/>
          <w:sz w:val="19"/>
        </w:rPr>
        <w:t xml:space="preserve">$20,000.00</w:t>
      </w:r>
    </w:p>
    <w:p>
      <w:pPr>
        <w:spacing w:before="0" w:after="5" w:line="259" w:lineRule="auto"/>
        <w:ind w:left="10" w:right="117"/>
        <w:jc w:val="right"/>
      </w:pPr>
      <w:r>
        <w:rPr>
          <w:rFonts w:cs="Calibri" w:hAnsi="Calibri" w:eastAsia="Calibri" w:ascii="Calibri"/>
          <w:sz w:val="19"/>
        </w:rPr>
        <w:t xml:space="preserve">1*OF*2	</w:t>
      </w:r>
      <w:r>
        <w:rPr>
          <w:rFonts w:cs="Calibri" w:hAnsi="Calibri" w:eastAsia="Calibri" w:ascii="Calibri"/>
          <w:sz w:val="19"/>
        </w:rPr>
        <w:t xml:space="preserve">7/1/13 </w:t>
      </w:r>
      <w:r>
        <w:rPr>
          <w:rFonts w:cs="Calibri" w:hAnsi="Calibri" w:eastAsia="Calibri" w:ascii="Calibri"/>
          <w:sz w:val="19"/>
        </w:rPr>
        <w:t xml:space="preserve">DEMOCRATIC*EMPOWERMENT*PROJECT*WORK*PLAN*BUDGET*2013*8*2014</w:t>
      </w:r>
    </w:p>
    <w:p>
      <w:pPr>
        <w:tabs>
          <w:tab w:val="center" w:pos="10618"/>
          <w:tab w:val="right" w:pos="12486"/>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SUBTOTAL:	</w:t>
      </w:r>
      <w:r>
        <w:rPr>
          <w:rFonts w:cs="Calibri" w:hAnsi="Calibri" w:eastAsia="Calibri" w:ascii="Calibri"/>
          <w:b w:val="1"/>
          <w:sz w:val="19"/>
        </w:rPr>
        <w:t xml:space="preserve">$52,322.00</w:t>
      </w:r>
    </w:p>
    <w:tbl>
      <w:tblPr>
        <w:tblStyle w:val="TableGrid"/>
        <w:tblW w:w="13074" w:type="dxa"/>
        <w:tblInd w:w="-554" w:type="dxa"/>
        <w:tblCellMar>
          <w:top w:w="13" w:type="dxa"/>
          <w:left w:w="0" w:type="dxa"/>
          <w:bottom w:w="0" w:type="dxa"/>
          <w:right w:w="115" w:type="dxa"/>
        </w:tblCellMar>
      </w:tblPr>
      <w:tblGrid>
        <w:gridCol w:w="988"/>
        <w:gridCol w:w="12086"/>
      </w:tblGrid>
      <w:tr>
        <w:trPr>
          <w:trHeight w:val="256" w:hRule="atLeast"/>
        </w:trPr>
        <w:tc>
          <w:tcPr>
            <w:tcW w:w="988" w:type="dxa"/>
            <w:tcBorders>
              <w:top w:val="nil"/>
              <w:left w:val="nil"/>
              <w:bottom w:val="nil"/>
              <w:right w:val="nil"/>
            </w:tcBorders>
            <w:shd w:val="clear" w:fill="dce6f1"/>
            <w:vAlign w:val="top"/>
          </w:tcPr>
          <w:p>
            <w:pPr>
              <w:spacing w:before="0" w:after="0" w:line="259" w:lineRule="auto"/>
              <w:ind w:left="241" w:right="0" w:firstLine="0"/>
              <w:jc w:val="left"/>
            </w:pPr>
            <w:r>
              <w:rPr>
                <w:rFonts w:cs="Calibri" w:hAnsi="Calibri" w:eastAsia="Calibri" w:ascii="Calibri"/>
                <w:b w:val="1"/>
                <w:sz w:val="19"/>
              </w:rPr>
              <w:t xml:space="preserve">1.1.4.</w:t>
            </w:r>
          </w:p>
        </w:tc>
        <w:tc>
          <w:tcPr>
            <w:tcW w:w="12086" w:type="dxa"/>
            <w:tcBorders>
              <w:top w:val="nil"/>
              <w:left w:val="nil"/>
              <w:bottom w:val="nil"/>
              <w:right w:val="nil"/>
            </w:tcBorders>
            <w:shd w:val="clear" w:fill="dce6f1"/>
            <w:vAlign w:val="top"/>
          </w:tcPr>
          <w:p>
            <w:pPr>
              <w:spacing w:before="0" w:after="0" w:line="259" w:lineRule="auto"/>
              <w:ind w:left="0" w:right="0" w:firstLine="0"/>
              <w:jc w:val="left"/>
            </w:pPr>
            <w:r>
              <w:rPr>
                <w:rFonts w:cs="Calibri" w:hAnsi="Calibri" w:eastAsia="Calibri" w:ascii="Calibri"/>
                <w:b w:val="1"/>
                <w:sz w:val="19"/>
              </w:rPr>
              <w:t xml:space="preserve">Support7research7and7dialogue7on7two7decades7of7multiparty7system7in7Tanzania</w:t>
            </w:r>
          </w:p>
        </w:tc>
      </w:tr>
    </w:tbl>
    <w:tbl>
      <w:tblPr>
        <w:tblStyle w:val="TableGrid"/>
        <w:tblW w:w="13007" w:type="dxa"/>
        <w:tblInd w:w="-521" w:type="dxa"/>
        <w:tblCellMar>
          <w:top w:w="0" w:type="dxa"/>
          <w:left w:w="0" w:type="dxa"/>
          <w:bottom w:w="0" w:type="dxa"/>
          <w:right w:w="0" w:type="dxa"/>
        </w:tblCellMar>
      </w:tblPr>
      <w:tblGrid>
        <w:gridCol w:w="12579"/>
        <w:gridCol w:w="428"/>
      </w:tblGrid>
      <w:tr>
        <w:trPr>
          <w:trHeight w:val="244" w:hRule="atLeast"/>
        </w:trPr>
        <w:tc>
          <w:tcPr>
            <w:tcW w:w="12579"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9"/>
              </w:rPr>
              <w:t xml:space="preserve">*No*activities*planned*in*2013*</w:t>
            </w:r>
          </w:p>
        </w:tc>
        <w:tc>
          <w:tcPr>
            <w:tcW w:w="428" w:type="dxa"/>
            <w:tcBorders>
              <w:top w:val="nil"/>
              <w:left w:val="nil"/>
              <w:bottom w:val="nil"/>
              <w:right w:val="nil"/>
            </w:tcBorders>
            <w:vAlign w:val="center"/>
          </w:tcPr>
          <w:p>
            <w:pPr>
              <w:bidi w:val="0"/>
              <w:spacing w:before="0" w:after="160" w:line="259" w:lineRule="auto"/>
              <w:ind w:left="0" w:right="0" w:firstLine="0"/>
              <w:jc w:val="left"/>
            </w:pPr>
          </w:p>
        </w:tc>
      </w:tr>
      <w:tr>
        <w:trPr>
          <w:trHeight w:val="244" w:hRule="atLeast"/>
        </w:trPr>
        <w:tc>
          <w:tcPr>
            <w:tcW w:w="12579" w:type="dxa"/>
            <w:tcBorders>
              <w:top w:val="nil"/>
              <w:left w:val="nil"/>
              <w:bottom w:val="nil"/>
              <w:right w:val="nil"/>
            </w:tcBorders>
            <w:vAlign w:val="top"/>
          </w:tcPr>
          <w:p>
            <w:pPr>
              <w:spacing w:before="0" w:after="0" w:line="259" w:lineRule="auto"/>
              <w:ind w:left="0" w:right="949" w:firstLine="0"/>
              <w:jc w:val="right"/>
            </w:pPr>
            <w:r>
              <w:rPr>
                <w:rFonts w:cs="Calibri" w:hAnsi="Calibri" w:eastAsia="Calibri" w:ascii="Calibri"/>
                <w:b w:val="1"/>
                <w:sz w:val="19"/>
              </w:rPr>
              <w:t xml:space="preserve">SUBTOTAL:</w:t>
            </w:r>
          </w:p>
        </w:tc>
        <w:tc>
          <w:tcPr>
            <w:tcW w:w="428" w:type="dxa"/>
            <w:tcBorders>
              <w:top w:val="nil"/>
              <w:left w:val="nil"/>
              <w:bottom w:val="nil"/>
              <w:right w:val="nil"/>
            </w:tcBorders>
            <w:vAlign w:val="top"/>
          </w:tcPr>
          <w:p>
            <w:pPr>
              <w:spacing w:before="0" w:after="0" w:line="259" w:lineRule="auto"/>
              <w:ind w:left="0" w:right="0" w:firstLine="0"/>
            </w:pPr>
            <w:r>
              <w:rPr>
                <w:rFonts w:cs="Calibri" w:hAnsi="Calibri" w:eastAsia="Calibri" w:ascii="Calibri"/>
                <w:b w:val="1"/>
                <w:sz w:val="19"/>
              </w:rPr>
              <w:t xml:space="preserve">$0.00</w:t>
            </w:r>
          </w:p>
        </w:tc>
      </w:tr>
    </w:tbl>
    <w:tbl>
      <w:tblPr>
        <w:tblStyle w:val="TableGrid"/>
        <w:tblW w:w="13074" w:type="dxa"/>
        <w:tblInd w:w="-554" w:type="dxa"/>
        <w:tblCellMar>
          <w:top w:w="5" w:type="dxa"/>
          <w:left w:w="0" w:type="dxa"/>
          <w:bottom w:w="0" w:type="dxa"/>
          <w:right w:w="115" w:type="dxa"/>
        </w:tblCellMar>
      </w:tblPr>
      <w:tblGrid>
        <w:gridCol w:w="988"/>
        <w:gridCol w:w="12086"/>
      </w:tblGrid>
      <w:tr>
        <w:trPr>
          <w:trHeight w:val="256" w:hRule="atLeast"/>
        </w:trPr>
        <w:tc>
          <w:tcPr>
            <w:tcW w:w="988" w:type="dxa"/>
            <w:tcBorders>
              <w:top w:val="nil"/>
              <w:left w:val="nil"/>
              <w:bottom w:val="nil"/>
              <w:right w:val="nil"/>
            </w:tcBorders>
            <w:shd w:val="clear" w:fill="dce6f1"/>
            <w:vAlign w:val="top"/>
          </w:tcPr>
          <w:p>
            <w:pPr>
              <w:spacing w:before="0" w:after="0" w:line="259" w:lineRule="auto"/>
              <w:ind w:left="241" w:right="0" w:firstLine="0"/>
              <w:jc w:val="left"/>
            </w:pPr>
            <w:r>
              <w:rPr>
                <w:rFonts w:cs="Calibri" w:hAnsi="Calibri" w:eastAsia="Calibri" w:ascii="Calibri"/>
                <w:b w:val="1"/>
                <w:sz w:val="19"/>
              </w:rPr>
              <w:t xml:space="preserve">1.1.5.</w:t>
            </w:r>
          </w:p>
        </w:tc>
        <w:tc>
          <w:tcPr>
            <w:tcW w:w="12086" w:type="dxa"/>
            <w:tcBorders>
              <w:top w:val="nil"/>
              <w:left w:val="nil"/>
              <w:bottom w:val="nil"/>
              <w:right w:val="nil"/>
            </w:tcBorders>
            <w:shd w:val="clear" w:fill="dce6f1"/>
            <w:vAlign w:val="top"/>
          </w:tcPr>
          <w:p>
            <w:pPr>
              <w:spacing w:before="0" w:after="0" w:line="259" w:lineRule="auto"/>
              <w:ind w:left="0" w:right="0" w:firstLine="0"/>
              <w:jc w:val="left"/>
            </w:pPr>
            <w:r>
              <w:rPr>
                <w:rFonts w:cs="Calibri" w:hAnsi="Calibri" w:eastAsia="Calibri" w:ascii="Calibri"/>
                <w:b w:val="1"/>
                <w:sz w:val="19"/>
              </w:rPr>
              <w:t xml:space="preserve">Facilitate7RPPYled7evaluation7of7the7implementation7of7the7Elections7Expenses7Act72010</w:t>
            </w:r>
          </w:p>
        </w:tc>
      </w:tr>
    </w:tbl>
    <w:tbl>
      <w:tblPr>
        <w:tblStyle w:val="TableGrid"/>
        <w:tblW w:w="13007" w:type="dxa"/>
        <w:tblInd w:w="-521" w:type="dxa"/>
        <w:tblCellMar>
          <w:top w:w="0" w:type="dxa"/>
          <w:left w:w="0" w:type="dxa"/>
          <w:bottom w:w="0" w:type="dxa"/>
          <w:right w:w="0" w:type="dxa"/>
        </w:tblCellMar>
      </w:tblPr>
      <w:tblGrid>
        <w:gridCol w:w="12579"/>
        <w:gridCol w:w="428"/>
      </w:tblGrid>
      <w:tr>
        <w:trPr>
          <w:trHeight w:val="252" w:hRule="atLeast"/>
        </w:trPr>
        <w:tc>
          <w:tcPr>
            <w:tcW w:w="12579"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9"/>
              </w:rPr>
              <w:t xml:space="preserve">*No*activities*planned*in*2013*</w:t>
            </w:r>
          </w:p>
        </w:tc>
        <w:tc>
          <w:tcPr>
            <w:tcW w:w="428" w:type="dxa"/>
            <w:tcBorders>
              <w:top w:val="nil"/>
              <w:left w:val="nil"/>
              <w:bottom w:val="nil"/>
              <w:right w:val="nil"/>
            </w:tcBorders>
            <w:vAlign w:val="top"/>
          </w:tcPr>
          <w:p>
            <w:pPr>
              <w:bidi w:val="0"/>
              <w:spacing w:before="0" w:after="160" w:line="259" w:lineRule="auto"/>
              <w:ind w:left="0" w:right="0" w:firstLine="0"/>
              <w:jc w:val="left"/>
            </w:pPr>
          </w:p>
        </w:tc>
      </w:tr>
      <w:tr>
        <w:trPr>
          <w:trHeight w:val="252" w:hRule="atLeast"/>
        </w:trPr>
        <w:tc>
          <w:tcPr>
            <w:tcW w:w="12579" w:type="dxa"/>
            <w:tcBorders>
              <w:top w:val="nil"/>
              <w:left w:val="nil"/>
              <w:bottom w:val="nil"/>
              <w:right w:val="nil"/>
            </w:tcBorders>
            <w:vAlign w:val="top"/>
          </w:tcPr>
          <w:p>
            <w:pPr>
              <w:spacing w:before="0" w:after="0" w:line="259" w:lineRule="auto"/>
              <w:ind w:left="0" w:right="949" w:firstLine="0"/>
              <w:jc w:val="right"/>
            </w:pPr>
            <w:r>
              <w:rPr>
                <w:rFonts w:cs="Calibri" w:hAnsi="Calibri" w:eastAsia="Calibri" w:ascii="Calibri"/>
                <w:b w:val="1"/>
                <w:sz w:val="19"/>
              </w:rPr>
              <w:t xml:space="preserve">SUBTOTAL:</w:t>
            </w:r>
          </w:p>
        </w:tc>
        <w:tc>
          <w:tcPr>
            <w:tcW w:w="428" w:type="dxa"/>
            <w:tcBorders>
              <w:top w:val="nil"/>
              <w:left w:val="nil"/>
              <w:bottom w:val="nil"/>
              <w:right w:val="nil"/>
            </w:tcBorders>
            <w:vAlign w:val="top"/>
          </w:tcPr>
          <w:p>
            <w:pPr>
              <w:spacing w:before="0" w:after="0" w:line="259" w:lineRule="auto"/>
              <w:ind w:left="0" w:right="0" w:firstLine="0"/>
            </w:pPr>
            <w:r>
              <w:rPr>
                <w:rFonts w:cs="Calibri" w:hAnsi="Calibri" w:eastAsia="Calibri" w:ascii="Calibri"/>
                <w:b w:val="1"/>
                <w:sz w:val="19"/>
              </w:rPr>
              <w:t xml:space="preserve">$0.00</w:t>
            </w:r>
          </w:p>
        </w:tc>
      </w:tr>
    </w:tbl>
    <w:tbl>
      <w:tblPr>
        <w:tblStyle w:val="TableGrid"/>
        <w:tblW w:w="13074" w:type="dxa"/>
        <w:tblInd w:w="-554" w:type="dxa"/>
        <w:tblCellMar>
          <w:top w:w="25" w:type="dxa"/>
          <w:left w:w="0" w:type="dxa"/>
          <w:bottom w:w="0" w:type="dxa"/>
          <w:right w:w="115" w:type="dxa"/>
        </w:tblCellMar>
      </w:tblPr>
      <w:tblGrid>
        <w:gridCol w:w="928"/>
        <w:gridCol w:w="12146"/>
      </w:tblGrid>
      <w:tr>
        <w:trPr>
          <w:trHeight w:val="532" w:hRule="atLeast"/>
        </w:trPr>
        <w:tc>
          <w:tcPr>
            <w:tcW w:w="928" w:type="dxa"/>
            <w:tcBorders>
              <w:top w:val="nil"/>
              <w:left w:val="nil"/>
              <w:bottom w:val="nil"/>
              <w:right w:val="nil"/>
            </w:tcBorders>
            <w:shd w:val="clear" w:fill="dce6f1"/>
            <w:vAlign w:val="center"/>
          </w:tcPr>
          <w:p>
            <w:pPr>
              <w:spacing w:before="0" w:after="0" w:line="259" w:lineRule="auto"/>
              <w:ind w:left="102" w:right="0" w:firstLine="0"/>
              <w:jc w:val="center"/>
            </w:pPr>
            <w:r>
              <w:rPr>
                <w:rFonts w:cs="Calibri" w:hAnsi="Calibri" w:eastAsia="Calibri" w:ascii="Calibri"/>
                <w:b w:val="1"/>
                <w:sz w:val="19"/>
              </w:rPr>
              <w:t xml:space="preserve">1.1.6.</w:t>
            </w:r>
          </w:p>
        </w:tc>
        <w:tc>
          <w:tcPr>
            <w:tcW w:w="12146" w:type="dxa"/>
            <w:tcBorders>
              <w:top w:val="nil"/>
              <w:left w:val="nil"/>
              <w:bottom w:val="nil"/>
              <w:right w:val="nil"/>
            </w:tcBorders>
            <w:shd w:val="clear" w:fill="dce6f1"/>
            <w:vAlign w:val="top"/>
          </w:tcPr>
          <w:p>
            <w:pPr>
              <w:spacing w:before="0" w:after="0" w:line="259" w:lineRule="auto"/>
              <w:ind w:left="0" w:right="0" w:firstLine="1"/>
              <w:jc w:val="left"/>
            </w:pPr>
            <w:r>
              <w:rPr>
                <w:rFonts w:cs="Calibri" w:hAnsi="Calibri" w:eastAsia="Calibri" w:ascii="Calibri"/>
                <w:b w:val="1"/>
                <w:sz w:val="19"/>
              </w:rPr>
              <w:t xml:space="preserve">Support7multiYstakeholders7(EMBs,7CSOs,7Media7and7Political7Parties)7dialogue7to7improve7the7legal7and7institutional7framework7for7democratic7and7 inclusive7elections7in7Tanzania,7including7electoral7system7reform;7including7the7review7of7reserved7seats7provisions.</w:t>
            </w:r>
          </w:p>
        </w:tc>
      </w:tr>
    </w:tbl>
    <w:tbl>
      <w:tblPr>
        <w:tblStyle w:val="TableGrid"/>
        <w:tblW w:w="12950" w:type="dxa"/>
        <w:tblInd w:w="-465" w:type="dxa"/>
        <w:tblCellMar>
          <w:top w:w="0" w:type="dxa"/>
          <w:left w:w="0" w:type="dxa"/>
          <w:bottom w:w="0" w:type="dxa"/>
          <w:right w:w="0" w:type="dxa"/>
        </w:tblCellMar>
      </w:tblPr>
      <w:tblGrid>
        <w:gridCol w:w="12522"/>
        <w:gridCol w:w="428"/>
      </w:tblGrid>
      <w:tr>
        <w:trPr>
          <w:trHeight w:val="246" w:hRule="atLeast"/>
        </w:trPr>
        <w:tc>
          <w:tcPr>
            <w:tcW w:w="1252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9"/>
              </w:rPr>
              <w:t xml:space="preserve">No*activities*planned*in*2013</w:t>
            </w:r>
          </w:p>
        </w:tc>
        <w:tc>
          <w:tcPr>
            <w:tcW w:w="428" w:type="dxa"/>
            <w:tcBorders>
              <w:top w:val="nil"/>
              <w:left w:val="nil"/>
              <w:bottom w:val="nil"/>
              <w:right w:val="nil"/>
            </w:tcBorders>
            <w:vAlign w:val="top"/>
          </w:tcPr>
          <w:p>
            <w:pPr>
              <w:bidi w:val="0"/>
              <w:spacing w:before="0" w:after="160" w:line="259" w:lineRule="auto"/>
              <w:ind w:left="0" w:right="0" w:firstLine="0"/>
              <w:jc w:val="left"/>
            </w:pPr>
          </w:p>
        </w:tc>
      </w:tr>
      <w:tr>
        <w:trPr>
          <w:trHeight w:val="246" w:hRule="atLeast"/>
        </w:trPr>
        <w:tc>
          <w:tcPr>
            <w:tcW w:w="12522" w:type="dxa"/>
            <w:tcBorders>
              <w:top w:val="nil"/>
              <w:left w:val="nil"/>
              <w:bottom w:val="nil"/>
              <w:right w:val="nil"/>
            </w:tcBorders>
            <w:vAlign w:val="top"/>
          </w:tcPr>
          <w:p>
            <w:pPr>
              <w:spacing w:before="0" w:after="0" w:line="259" w:lineRule="auto"/>
              <w:ind w:left="0" w:right="949" w:firstLine="0"/>
              <w:jc w:val="right"/>
            </w:pPr>
            <w:r>
              <w:rPr>
                <w:rFonts w:cs="Calibri" w:hAnsi="Calibri" w:eastAsia="Calibri" w:ascii="Calibri"/>
                <w:b w:val="1"/>
                <w:sz w:val="19"/>
              </w:rPr>
              <w:t xml:space="preserve">SUBTOTAL:</w:t>
            </w:r>
          </w:p>
        </w:tc>
        <w:tc>
          <w:tcPr>
            <w:tcW w:w="428" w:type="dxa"/>
            <w:tcBorders>
              <w:top w:val="nil"/>
              <w:left w:val="nil"/>
              <w:bottom w:val="nil"/>
              <w:right w:val="nil"/>
            </w:tcBorders>
            <w:vAlign w:val="top"/>
          </w:tcPr>
          <w:p>
            <w:pPr>
              <w:spacing w:before="0" w:after="0" w:line="259" w:lineRule="auto"/>
              <w:ind w:left="0" w:right="0" w:firstLine="0"/>
            </w:pPr>
            <w:r>
              <w:rPr>
                <w:rFonts w:cs="Calibri" w:hAnsi="Calibri" w:eastAsia="Calibri" w:ascii="Calibri"/>
                <w:b w:val="1"/>
                <w:sz w:val="19"/>
              </w:rPr>
              <w:t xml:space="preserve">$0.00</w:t>
            </w:r>
          </w:p>
        </w:tc>
      </w:tr>
    </w:tbl>
    <w:tbl>
      <w:tblPr>
        <w:tblStyle w:val="TableGrid"/>
        <w:tblW w:w="13070" w:type="dxa"/>
        <w:tblInd w:w="-554" w:type="dxa"/>
        <w:tblCellMar>
          <w:top w:w="0" w:type="dxa"/>
          <w:left w:w="0" w:type="dxa"/>
          <w:bottom w:w="0" w:type="dxa"/>
          <w:right w:w="30" w:type="dxa"/>
        </w:tblCellMar>
      </w:tblPr>
      <w:tblGrid>
        <w:gridCol w:w="5487"/>
        <w:gridCol w:w="3101"/>
        <w:gridCol w:w="1092"/>
        <w:gridCol w:w="913"/>
        <w:gridCol w:w="1104"/>
        <w:gridCol w:w="1372"/>
      </w:tblGrid>
      <w:tr>
        <w:trPr>
          <w:trHeight w:val="520" w:hRule="atLeast"/>
        </w:trPr>
        <w:tc>
          <w:tcPr>
            <w:tcW w:w="13070" w:type="dxa"/>
            <w:gridSpan w:val="6"/>
            <w:tcBorders>
              <w:top w:val="nil"/>
              <w:left w:val="nil"/>
              <w:bottom w:val="nil"/>
              <w:right w:val="nil"/>
            </w:tcBorders>
            <w:shd w:val="clear" w:fill="dce6f1"/>
            <w:vAlign w:val="center"/>
          </w:tcPr>
          <w:p>
            <w:pPr>
              <w:tabs>
                <w:tab w:val="center" w:pos="457"/>
                <w:tab w:val="center" w:pos="6890"/>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1.1.7.	</w:t>
            </w:r>
            <w:r>
              <w:rPr>
                <w:rFonts w:cs="Calibri" w:hAnsi="Calibri" w:eastAsia="Calibri" w:ascii="Calibri"/>
                <w:b w:val="1"/>
                <w:sz w:val="19"/>
              </w:rPr>
              <w:t xml:space="preserve">7Support7the7judiciary7to7foster7electoral7justice7through7improved7dispute7resolution7mechanisms,7including7contributing7to7constitutional7review7process7</w:t>
            </w:r>
          </w:p>
        </w:tc>
      </w:tr>
      <w:tr>
        <w:trPr>
          <w:trHeight w:val="1534" w:hRule="atLeast"/>
        </w:trPr>
        <w:tc>
          <w:tcPr>
            <w:tcW w:w="5487" w:type="dxa"/>
            <w:vMerge w:val="restart"/>
            <w:tcBorders>
              <w:top w:val="nil"/>
              <w:left w:val="nil"/>
              <w:bottom w:val="nil"/>
              <w:right w:val="nil"/>
            </w:tcBorders>
            <w:vAlign w:val="top"/>
          </w:tcPr>
          <w:p>
            <w:pPr>
              <w:spacing w:before="0" w:after="0" w:line="259" w:lineRule="auto"/>
              <w:ind w:left="30" w:right="0" w:firstLine="2"/>
              <w:jc w:val="left"/>
            </w:pPr>
            <w:r>
              <w:rPr>
                <w:rFonts w:cs="Calibri" w:hAnsi="Calibri" w:eastAsia="Calibri" w:ascii="Calibri"/>
                <w:sz w:val="19"/>
              </w:rPr>
              <w:t xml:space="preserve">*A.*Technical*assistance*to*the*judiciary*for*the*design*and*conduct*of* a*workshop*to*discuss*and*develop*improved*electoral*dispute* resolution*mechanisms.*</w:t>
            </w:r>
          </w:p>
        </w:tc>
        <w:tc>
          <w:tcPr>
            <w:tcW w:w="3101" w:type="dxa"/>
            <w:vMerge w:val="restart"/>
            <w:tcBorders>
              <w:top w:val="nil"/>
              <w:left w:val="nil"/>
              <w:bottom w:val="nil"/>
              <w:right w:val="nil"/>
            </w:tcBorders>
            <w:vAlign w:val="top"/>
          </w:tcPr>
          <w:p>
            <w:pPr>
              <w:spacing w:before="0" w:after="269" w:line="259" w:lineRule="auto"/>
              <w:ind w:left="-57" w:right="0" w:firstLine="0"/>
              <w:jc w:val="left"/>
            </w:pPr>
            <w:r>
              <w:rPr>
                <w:rFonts w:cs="Calibri" w:hAnsi="Calibri" w:eastAsia="Calibri" w:ascii="Calibri"/>
                <w:sz w:val="19"/>
              </w:rPr>
              <w:t xml:space="preserve">*Intl.*Consultant*8*EDR*Expert*</w:t>
            </w:r>
          </w:p>
          <w:p>
            <w:pPr>
              <w:spacing w:before="0" w:after="6" w:line="259" w:lineRule="auto"/>
              <w:ind w:left="0" w:right="0" w:firstLine="0"/>
              <w:jc w:val="left"/>
            </w:pPr>
            <w:r>
              <w:rPr>
                <w:rFonts w:cs="Calibri" w:hAnsi="Calibri" w:eastAsia="Calibri" w:ascii="Calibri"/>
                <w:sz w:val="19"/>
              </w:rPr>
              <w:t xml:space="preserve">Intl.*Consultant*8*Air*Fare</w:t>
            </w:r>
          </w:p>
          <w:p>
            <w:pPr>
              <w:spacing w:before="0" w:after="6" w:line="259" w:lineRule="auto"/>
              <w:ind w:left="0" w:right="0" w:firstLine="0"/>
              <w:jc w:val="left"/>
            </w:pPr>
            <w:r>
              <w:rPr>
                <w:rFonts w:cs="Calibri" w:hAnsi="Calibri" w:eastAsia="Calibri" w:ascii="Calibri"/>
                <w:sz w:val="19"/>
              </w:rPr>
              <w:t xml:space="preserve">Intl.*Consultant*8*DSA</w:t>
            </w:r>
          </w:p>
          <w:p>
            <w:pPr>
              <w:spacing w:before="0" w:after="6" w:line="259" w:lineRule="auto"/>
              <w:ind w:left="0" w:right="0" w:firstLine="0"/>
              <w:jc w:val="left"/>
            </w:pPr>
            <w:r>
              <w:rPr>
                <w:rFonts w:cs="Calibri" w:hAnsi="Calibri" w:eastAsia="Calibri" w:ascii="Calibri"/>
                <w:sz w:val="19"/>
              </w:rPr>
              <w:t xml:space="preserve">Meeting*Costs</w:t>
            </w:r>
          </w:p>
          <w:p>
            <w:pPr>
              <w:spacing w:before="0" w:after="0" w:line="259" w:lineRule="auto"/>
              <w:ind w:left="0" w:right="0" w:firstLine="0"/>
              <w:jc w:val="left"/>
            </w:pPr>
            <w:r>
              <w:rPr>
                <w:rFonts w:cs="Calibri" w:hAnsi="Calibri" w:eastAsia="Calibri" w:ascii="Calibri"/>
                <w:sz w:val="19"/>
              </w:rPr>
              <w:t xml:space="preserve">Supplies*&amp;*Materials</w:t>
            </w:r>
          </w:p>
        </w:tc>
        <w:tc>
          <w:tcPr>
            <w:tcW w:w="1092" w:type="dxa"/>
            <w:tcBorders>
              <w:top w:val="nil"/>
              <w:left w:val="nil"/>
              <w:bottom w:val="double" w:sz="6" w:color="000000"/>
              <w:right w:val="nil"/>
            </w:tcBorders>
            <w:vAlign w:val="top"/>
          </w:tcPr>
          <w:p>
            <w:pPr>
              <w:spacing w:before="0" w:after="269" w:line="259" w:lineRule="auto"/>
              <w:ind w:left="114" w:right="0" w:firstLine="0"/>
              <w:jc w:val="left"/>
            </w:pPr>
            <w:r>
              <w:rPr>
                <w:rFonts w:cs="Calibri" w:hAnsi="Calibri" w:eastAsia="Calibri" w:ascii="Calibri"/>
                <w:sz w:val="19"/>
              </w:rPr>
              <w:t xml:space="preserve">Days</w:t>
            </w:r>
          </w:p>
          <w:p>
            <w:pPr>
              <w:spacing w:before="0" w:after="6" w:line="259" w:lineRule="auto"/>
              <w:ind w:left="162" w:right="0" w:firstLine="0"/>
              <w:jc w:val="left"/>
            </w:pPr>
            <w:r>
              <w:rPr>
                <w:rFonts w:cs="Calibri" w:hAnsi="Calibri" w:eastAsia="Calibri" w:ascii="Calibri"/>
                <w:sz w:val="19"/>
              </w:rPr>
              <w:t xml:space="preserve">R/T</w:t>
            </w:r>
          </w:p>
          <w:p>
            <w:pPr>
              <w:spacing w:before="0" w:after="6" w:line="259" w:lineRule="auto"/>
              <w:ind w:left="114" w:right="0" w:firstLine="0"/>
              <w:jc w:val="left"/>
            </w:pPr>
            <w:r>
              <w:rPr>
                <w:rFonts w:cs="Calibri" w:hAnsi="Calibri" w:eastAsia="Calibri" w:ascii="Calibri"/>
                <w:sz w:val="19"/>
              </w:rPr>
              <w:t xml:space="preserve">Days</w:t>
            </w:r>
          </w:p>
          <w:p>
            <w:pPr>
              <w:spacing w:before="0" w:after="6" w:line="259" w:lineRule="auto"/>
              <w:ind w:left="126" w:right="0" w:firstLine="0"/>
              <w:jc w:val="left"/>
            </w:pPr>
            <w:r>
              <w:rPr>
                <w:rFonts w:cs="Calibri" w:hAnsi="Calibri" w:eastAsia="Calibri" w:ascii="Calibri"/>
                <w:sz w:val="19"/>
              </w:rPr>
              <w:t xml:space="preserve">Pool</w:t>
            </w:r>
          </w:p>
          <w:p>
            <w:pPr>
              <w:spacing w:before="0" w:after="0" w:line="259" w:lineRule="auto"/>
              <w:ind w:left="126" w:right="0" w:firstLine="0"/>
              <w:jc w:val="left"/>
            </w:pPr>
            <w:r>
              <w:rPr>
                <w:rFonts w:cs="Calibri" w:hAnsi="Calibri" w:eastAsia="Calibri" w:ascii="Calibri"/>
                <w:sz w:val="19"/>
              </w:rPr>
              <w:t xml:space="preserve">Pool</w:t>
            </w:r>
          </w:p>
        </w:tc>
        <w:tc>
          <w:tcPr>
            <w:tcW w:w="913" w:type="dxa"/>
            <w:tcBorders>
              <w:top w:val="nil"/>
              <w:left w:val="nil"/>
              <w:bottom w:val="double" w:sz="6" w:color="000000"/>
              <w:right w:val="nil"/>
            </w:tcBorders>
            <w:vAlign w:val="top"/>
          </w:tcPr>
          <w:p>
            <w:pPr>
              <w:spacing w:before="0" w:after="269" w:line="259" w:lineRule="auto"/>
              <w:ind w:left="24" w:right="0" w:firstLine="0"/>
              <w:jc w:val="left"/>
            </w:pPr>
            <w:r>
              <w:rPr>
                <w:rFonts w:cs="Calibri" w:hAnsi="Calibri" w:eastAsia="Calibri" w:ascii="Calibri"/>
                <w:sz w:val="19"/>
              </w:rPr>
              <w:t xml:space="preserve">15</w:t>
            </w:r>
          </w:p>
          <w:p>
            <w:pPr>
              <w:spacing w:before="0" w:after="6" w:line="259" w:lineRule="auto"/>
              <w:ind w:left="73" w:right="0" w:firstLine="0"/>
              <w:jc w:val="left"/>
            </w:pPr>
            <w:r>
              <w:rPr>
                <w:rFonts w:cs="Calibri" w:hAnsi="Calibri" w:eastAsia="Calibri" w:ascii="Calibri"/>
                <w:sz w:val="19"/>
              </w:rPr>
              <w:t xml:space="preserve">1</w:t>
            </w:r>
          </w:p>
          <w:p>
            <w:pPr>
              <w:spacing w:before="0" w:after="6" w:line="259" w:lineRule="auto"/>
              <w:ind w:left="24" w:right="0" w:firstLine="0"/>
              <w:jc w:val="left"/>
            </w:pPr>
            <w:r>
              <w:rPr>
                <w:rFonts w:cs="Calibri" w:hAnsi="Calibri" w:eastAsia="Calibri" w:ascii="Calibri"/>
                <w:sz w:val="19"/>
              </w:rPr>
              <w:t xml:space="preserve">22</w:t>
            </w:r>
          </w:p>
          <w:p>
            <w:pPr>
              <w:spacing w:before="0" w:after="6" w:line="259" w:lineRule="auto"/>
              <w:ind w:left="73" w:right="0" w:firstLine="0"/>
              <w:jc w:val="left"/>
            </w:pPr>
            <w:r>
              <w:rPr>
                <w:rFonts w:cs="Calibri" w:hAnsi="Calibri" w:eastAsia="Calibri" w:ascii="Calibri"/>
                <w:sz w:val="19"/>
              </w:rPr>
              <w:t xml:space="preserve">1</w:t>
            </w:r>
          </w:p>
          <w:p>
            <w:pPr>
              <w:spacing w:before="0" w:after="0" w:line="259" w:lineRule="auto"/>
              <w:ind w:left="73" w:right="0" w:firstLine="0"/>
              <w:jc w:val="left"/>
            </w:pPr>
            <w:r>
              <w:rPr>
                <w:rFonts w:cs="Calibri" w:hAnsi="Calibri" w:eastAsia="Calibri" w:ascii="Calibri"/>
                <w:sz w:val="19"/>
              </w:rPr>
              <w:t xml:space="preserve">1</w:t>
            </w:r>
          </w:p>
        </w:tc>
        <w:tc>
          <w:tcPr>
            <w:tcW w:w="1104" w:type="dxa"/>
            <w:tcBorders>
              <w:top w:val="nil"/>
              <w:left w:val="nil"/>
              <w:bottom w:val="double" w:sz="6" w:color="000000"/>
              <w:right w:val="nil"/>
            </w:tcBorders>
            <w:vAlign w:val="top"/>
          </w:tcPr>
          <w:p>
            <w:pPr>
              <w:spacing w:before="0" w:after="269" w:line="259" w:lineRule="auto"/>
              <w:ind w:left="0" w:right="1" w:firstLine="0"/>
              <w:jc w:val="right"/>
            </w:pPr>
            <w:r>
              <w:rPr>
                <w:rFonts w:cs="Calibri" w:hAnsi="Calibri" w:eastAsia="Calibri" w:ascii="Calibri"/>
                <w:sz w:val="19"/>
              </w:rPr>
              <w:t xml:space="preserve">$750.00</w:t>
            </w:r>
          </w:p>
          <w:p>
            <w:pPr>
              <w:spacing w:before="0" w:after="6" w:line="259" w:lineRule="auto"/>
              <w:ind w:left="0" w:right="1" w:firstLine="0"/>
              <w:jc w:val="right"/>
            </w:pPr>
            <w:r>
              <w:rPr>
                <w:rFonts w:cs="Calibri" w:hAnsi="Calibri" w:eastAsia="Calibri" w:ascii="Calibri"/>
                <w:sz w:val="19"/>
              </w:rPr>
              <w:t xml:space="preserve">$2,000.00</w:t>
            </w:r>
          </w:p>
          <w:p>
            <w:pPr>
              <w:spacing w:before="0" w:after="6" w:line="259" w:lineRule="auto"/>
              <w:ind w:left="0" w:right="1" w:firstLine="0"/>
              <w:jc w:val="right"/>
            </w:pPr>
            <w:r>
              <w:rPr>
                <w:rFonts w:cs="Calibri" w:hAnsi="Calibri" w:eastAsia="Calibri" w:ascii="Calibri"/>
                <w:sz w:val="19"/>
              </w:rPr>
              <w:t xml:space="preserve">$216.00</w:t>
            </w:r>
          </w:p>
          <w:p>
            <w:pPr>
              <w:spacing w:before="0" w:after="0" w:line="259" w:lineRule="auto"/>
              <w:ind w:left="0" w:right="1" w:firstLine="0"/>
              <w:jc w:val="right"/>
            </w:pPr>
            <w:r>
              <w:rPr>
                <w:rFonts w:cs="Calibri" w:hAnsi="Calibri" w:eastAsia="Calibri" w:ascii="Calibri"/>
                <w:sz w:val="19"/>
              </w:rPr>
              <w:t xml:space="preserve">$4,000.00 $500.00</w:t>
            </w:r>
          </w:p>
        </w:tc>
        <w:tc>
          <w:tcPr>
            <w:tcW w:w="1372" w:type="dxa"/>
            <w:tcBorders>
              <w:top w:val="nil"/>
              <w:left w:val="nil"/>
              <w:bottom w:val="double" w:sz="6" w:color="000000"/>
              <w:right w:val="nil"/>
            </w:tcBorders>
            <w:vAlign w:val="top"/>
          </w:tcPr>
          <w:p>
            <w:pPr>
              <w:spacing w:before="0" w:after="269" w:line="259" w:lineRule="auto"/>
              <w:ind w:left="0" w:right="0" w:firstLine="0"/>
              <w:jc w:val="right"/>
            </w:pPr>
            <w:r>
              <w:rPr>
                <w:rFonts w:cs="Calibri" w:hAnsi="Calibri" w:eastAsia="Calibri" w:ascii="Calibri"/>
                <w:sz w:val="19"/>
              </w:rPr>
              <w:t xml:space="preserve">$11,250.00</w:t>
            </w:r>
          </w:p>
          <w:p>
            <w:pPr>
              <w:spacing w:before="0" w:after="6" w:line="259" w:lineRule="auto"/>
              <w:ind w:left="0" w:right="1" w:firstLine="0"/>
              <w:jc w:val="right"/>
            </w:pPr>
            <w:r>
              <w:rPr>
                <w:rFonts w:cs="Calibri" w:hAnsi="Calibri" w:eastAsia="Calibri" w:ascii="Calibri"/>
                <w:sz w:val="19"/>
              </w:rPr>
              <w:t xml:space="preserve">$2,000.00</w:t>
            </w:r>
          </w:p>
          <w:p>
            <w:pPr>
              <w:spacing w:before="0" w:after="6" w:line="259" w:lineRule="auto"/>
              <w:ind w:left="0" w:right="1" w:firstLine="0"/>
              <w:jc w:val="right"/>
            </w:pPr>
            <w:r>
              <w:rPr>
                <w:rFonts w:cs="Calibri" w:hAnsi="Calibri" w:eastAsia="Calibri" w:ascii="Calibri"/>
                <w:sz w:val="19"/>
              </w:rPr>
              <w:t xml:space="preserve">$4,752.00</w:t>
            </w:r>
          </w:p>
          <w:p>
            <w:pPr>
              <w:spacing w:before="0" w:after="0" w:line="259" w:lineRule="auto"/>
              <w:ind w:left="0" w:right="1" w:firstLine="0"/>
              <w:jc w:val="right"/>
            </w:pPr>
            <w:r>
              <w:rPr>
                <w:rFonts w:cs="Calibri" w:hAnsi="Calibri" w:eastAsia="Calibri" w:ascii="Calibri"/>
                <w:sz w:val="19"/>
              </w:rPr>
              <w:t xml:space="preserve">$4,000.00 $500.00</w:t>
            </w:r>
          </w:p>
        </w:tc>
      </w:tr>
      <w:tr>
        <w:trPr>
          <w:trHeight w:val="268"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092" w:type="dxa"/>
            <w:tcBorders>
              <w:top w:val="double" w:sz="6" w:color="000000"/>
              <w:left w:val="nil"/>
              <w:bottom w:val="nil"/>
              <w:right w:val="nil"/>
            </w:tcBorders>
            <w:vAlign w:val="center"/>
          </w:tcPr>
          <w:p>
            <w:pPr>
              <w:bidi w:val="0"/>
              <w:spacing w:before="0" w:after="160" w:line="259" w:lineRule="auto"/>
              <w:ind w:left="0" w:right="0" w:firstLine="0"/>
              <w:jc w:val="left"/>
            </w:pPr>
          </w:p>
        </w:tc>
        <w:tc>
          <w:tcPr>
            <w:tcW w:w="913" w:type="dxa"/>
            <w:tcBorders>
              <w:top w:val="double" w:sz="6" w:color="000000"/>
              <w:left w:val="nil"/>
              <w:bottom w:val="nil"/>
              <w:right w:val="nil"/>
            </w:tcBorders>
            <w:vAlign w:val="center"/>
          </w:tcPr>
          <w:p>
            <w:pPr>
              <w:bidi w:val="0"/>
              <w:spacing w:before="0" w:after="160" w:line="259" w:lineRule="auto"/>
              <w:ind w:left="0" w:right="0" w:firstLine="0"/>
              <w:jc w:val="left"/>
            </w:pPr>
          </w:p>
        </w:tc>
        <w:tc>
          <w:tcPr>
            <w:tcW w:w="1104" w:type="dxa"/>
            <w:tcBorders>
              <w:top w:val="double" w:sz="6" w:color="000000"/>
              <w:left w:val="nil"/>
              <w:bottom w:val="nil"/>
              <w:right w:val="nil"/>
            </w:tcBorders>
            <w:vAlign w:val="top"/>
          </w:tcPr>
          <w:p>
            <w:pPr>
              <w:spacing w:before="0" w:after="0" w:line="259" w:lineRule="auto"/>
              <w:ind w:left="0" w:right="6" w:firstLine="0"/>
              <w:jc w:val="right"/>
            </w:pPr>
            <w:r>
              <w:rPr>
                <w:rFonts w:cs="Calibri" w:hAnsi="Calibri" w:eastAsia="Calibri" w:ascii="Calibri"/>
                <w:b w:val="1"/>
                <w:sz w:val="19"/>
              </w:rPr>
              <w:t xml:space="preserve">SUBTOTAL:</w:t>
            </w:r>
          </w:p>
        </w:tc>
        <w:tc>
          <w:tcPr>
            <w:tcW w:w="1372" w:type="dxa"/>
            <w:tcBorders>
              <w:top w:val="double" w:sz="6" w:color="000000"/>
              <w:left w:val="nil"/>
              <w:bottom w:val="nil"/>
              <w:right w:val="nil"/>
            </w:tcBorders>
            <w:vAlign w:val="top"/>
          </w:tcPr>
          <w:p>
            <w:pPr>
              <w:spacing w:before="0" w:after="0" w:line="259" w:lineRule="auto"/>
              <w:ind w:left="0" w:right="0" w:firstLine="0"/>
              <w:jc w:val="right"/>
            </w:pPr>
            <w:r>
              <w:rPr>
                <w:rFonts w:cs="Calibri" w:hAnsi="Calibri" w:eastAsia="Calibri" w:ascii="Calibri"/>
                <w:b w:val="1"/>
                <w:sz w:val="19"/>
              </w:rPr>
              <w:t xml:space="preserve">$22,502.00</w:t>
            </w:r>
          </w:p>
        </w:tc>
      </w:tr>
      <w:tr>
        <w:trPr>
          <w:trHeight w:val="256" w:hRule="atLeast"/>
        </w:trPr>
        <w:tc>
          <w:tcPr>
            <w:tcW w:w="5487" w:type="dxa"/>
            <w:tcBorders>
              <w:top w:val="nil"/>
              <w:left w:val="nil"/>
              <w:bottom w:val="nil"/>
              <w:right w:val="nil"/>
            </w:tcBorders>
            <w:shd w:val="clear" w:fill="dce6f1"/>
            <w:vAlign w:val="top"/>
          </w:tcPr>
          <w:p>
            <w:pPr>
              <w:tabs>
                <w:tab w:val="center" w:pos="457"/>
                <w:tab w:val="center" w:pos="2347"/>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1.1.8.	</w:t>
            </w:r>
            <w:r>
              <w:rPr>
                <w:rFonts w:cs="Calibri" w:hAnsi="Calibri" w:eastAsia="Calibri" w:ascii="Calibri"/>
                <w:b w:val="1"/>
                <w:sz w:val="17"/>
              </w:rPr>
              <w:t xml:space="preserve">LongYTerm7Technical7Assistance7(LTTA)</w:t>
            </w:r>
          </w:p>
        </w:tc>
        <w:tc>
          <w:tcPr>
            <w:tcW w:w="3101" w:type="dxa"/>
            <w:tcBorders>
              <w:top w:val="nil"/>
              <w:left w:val="nil"/>
              <w:bottom w:val="nil"/>
              <w:right w:val="nil"/>
            </w:tcBorders>
            <w:shd w:val="clear" w:fill="dce6f1"/>
            <w:vAlign w:val="center"/>
          </w:tcPr>
          <w:p>
            <w:pPr>
              <w:bidi w:val="0"/>
              <w:spacing w:before="0" w:after="160" w:line="259" w:lineRule="auto"/>
              <w:ind w:left="0" w:right="0" w:firstLine="0"/>
              <w:jc w:val="left"/>
            </w:pPr>
          </w:p>
        </w:tc>
        <w:tc>
          <w:tcPr>
            <w:tcW w:w="1092" w:type="dxa"/>
            <w:tcBorders>
              <w:top w:val="nil"/>
              <w:left w:val="nil"/>
              <w:bottom w:val="nil"/>
              <w:right w:val="nil"/>
            </w:tcBorders>
            <w:shd w:val="clear" w:fill="dce6f1"/>
            <w:vAlign w:val="center"/>
          </w:tcPr>
          <w:p>
            <w:pPr>
              <w:bidi w:val="0"/>
              <w:spacing w:before="0" w:after="160" w:line="259" w:lineRule="auto"/>
              <w:ind w:left="0" w:right="0" w:firstLine="0"/>
              <w:jc w:val="left"/>
            </w:pPr>
          </w:p>
        </w:tc>
        <w:tc>
          <w:tcPr>
            <w:tcW w:w="913" w:type="dxa"/>
            <w:tcBorders>
              <w:top w:val="nil"/>
              <w:left w:val="nil"/>
              <w:bottom w:val="nil"/>
              <w:right w:val="nil"/>
            </w:tcBorders>
            <w:shd w:val="clear" w:fill="dce6f1"/>
            <w:vAlign w:val="center"/>
          </w:tcPr>
          <w:p>
            <w:pPr>
              <w:bidi w:val="0"/>
              <w:spacing w:before="0" w:after="160" w:line="259" w:lineRule="auto"/>
              <w:ind w:left="0" w:right="0" w:firstLine="0"/>
              <w:jc w:val="left"/>
            </w:pPr>
          </w:p>
        </w:tc>
        <w:tc>
          <w:tcPr>
            <w:tcW w:w="1104" w:type="dxa"/>
            <w:tcBorders>
              <w:top w:val="nil"/>
              <w:left w:val="nil"/>
              <w:bottom w:val="nil"/>
              <w:right w:val="nil"/>
            </w:tcBorders>
            <w:shd w:val="clear" w:fill="dce6f1"/>
            <w:vAlign w:val="center"/>
          </w:tcPr>
          <w:p>
            <w:pPr>
              <w:bidi w:val="0"/>
              <w:spacing w:before="0" w:after="160" w:line="259" w:lineRule="auto"/>
              <w:ind w:left="0" w:right="0" w:firstLine="0"/>
              <w:jc w:val="left"/>
            </w:pPr>
          </w:p>
        </w:tc>
        <w:tc>
          <w:tcPr>
            <w:tcW w:w="1372" w:type="dxa"/>
            <w:tcBorders>
              <w:top w:val="nil"/>
              <w:left w:val="nil"/>
              <w:bottom w:val="nil"/>
              <w:right w:val="nil"/>
            </w:tcBorders>
            <w:shd w:val="clear" w:fill="dce6f1"/>
            <w:vAlign w:val="center"/>
          </w:tcPr>
          <w:p>
            <w:pPr>
              <w:bidi w:val="0"/>
              <w:spacing w:before="0" w:after="160" w:line="259" w:lineRule="auto"/>
              <w:ind w:left="0" w:right="0" w:firstLine="0"/>
              <w:jc w:val="left"/>
            </w:pPr>
          </w:p>
        </w:tc>
      </w:tr>
      <w:tr>
        <w:trPr>
          <w:trHeight w:val="791" w:hRule="atLeast"/>
        </w:trPr>
        <w:tc>
          <w:tcPr>
            <w:tcW w:w="5487" w:type="dxa"/>
            <w:vMerge w:val="restart"/>
            <w:tcBorders>
              <w:top w:val="nil"/>
              <w:left w:val="nil"/>
              <w:bottom w:val="single" w:sz="13" w:color="000000"/>
              <w:right w:val="nil"/>
            </w:tcBorders>
            <w:vAlign w:val="top"/>
          </w:tcPr>
          <w:p>
            <w:pPr>
              <w:spacing w:before="0" w:after="6" w:line="259" w:lineRule="auto"/>
              <w:ind w:left="89" w:right="0" w:firstLine="0"/>
              <w:jc w:val="left"/>
            </w:pPr>
            <w:r>
              <w:rPr>
                <w:rFonts w:cs="Calibri" w:hAnsi="Calibri" w:eastAsia="Calibri" w:ascii="Calibri"/>
                <w:sz w:val="19"/>
              </w:rPr>
              <w:t xml:space="preserve">A.**Chief*Technical*Advisor*(P5)</w:t>
            </w:r>
          </w:p>
          <w:p>
            <w:pPr>
              <w:spacing w:before="0" w:after="6" w:line="259" w:lineRule="auto"/>
              <w:ind w:left="89" w:right="0" w:firstLine="0"/>
              <w:jc w:val="left"/>
            </w:pPr>
            <w:r>
              <w:rPr>
                <w:rFonts w:cs="Calibri" w:hAnsi="Calibri" w:eastAsia="Calibri" w:ascii="Calibri"/>
                <w:sz w:val="19"/>
              </w:rPr>
              <w:t xml:space="preserve">B.**Election*Law*&amp;*Administration*Specialist*(P4)</w:t>
            </w:r>
          </w:p>
          <w:p>
            <w:pPr>
              <w:spacing w:before="0" w:after="0" w:line="259" w:lineRule="auto"/>
              <w:ind w:left="89" w:right="0" w:firstLine="0"/>
              <w:jc w:val="left"/>
            </w:pPr>
            <w:r>
              <w:rPr>
                <w:rFonts w:cs="Calibri" w:hAnsi="Calibri" w:eastAsia="Calibri" w:ascii="Calibri"/>
                <w:sz w:val="19"/>
              </w:rPr>
              <w:t xml:space="preserve">C.**Senior*Governance*Advisor*(P5)</w:t>
            </w:r>
          </w:p>
        </w:tc>
        <w:tc>
          <w:tcPr>
            <w:tcW w:w="3101" w:type="dxa"/>
            <w:vMerge w:val="restart"/>
            <w:tcBorders>
              <w:top w:val="nil"/>
              <w:left w:val="nil"/>
              <w:bottom w:val="single" w:sz="13" w:color="000000"/>
              <w:right w:val="nil"/>
            </w:tcBorders>
            <w:vAlign w:val="top"/>
          </w:tcPr>
          <w:p>
            <w:pPr>
              <w:spacing w:before="0" w:after="6" w:line="259" w:lineRule="auto"/>
              <w:ind w:left="722" w:right="0" w:firstLine="0"/>
              <w:jc w:val="left"/>
            </w:pPr>
            <w:r>
              <w:rPr>
                <w:rFonts w:cs="Calibri" w:hAnsi="Calibri" w:eastAsia="Calibri" w:ascii="Calibri"/>
                <w:sz w:val="19"/>
              </w:rPr>
              <w:t xml:space="preserve">(30%*of*12*months)</w:t>
            </w:r>
          </w:p>
          <w:p>
            <w:pPr>
              <w:spacing w:before="0" w:after="6" w:line="259" w:lineRule="auto"/>
              <w:ind w:left="722" w:right="0" w:firstLine="0"/>
              <w:jc w:val="left"/>
            </w:pPr>
            <w:r>
              <w:rPr>
                <w:rFonts w:cs="Calibri" w:hAnsi="Calibri" w:eastAsia="Calibri" w:ascii="Calibri"/>
                <w:sz w:val="19"/>
              </w:rPr>
              <w:t xml:space="preserve">(100%*of*8*months)</w:t>
            </w:r>
          </w:p>
          <w:p>
            <w:pPr>
              <w:spacing w:before="0" w:after="0" w:line="259" w:lineRule="auto"/>
              <w:ind w:left="722" w:right="0" w:firstLine="0"/>
              <w:jc w:val="left"/>
            </w:pPr>
            <w:r>
              <w:rPr>
                <w:rFonts w:cs="Calibri" w:hAnsi="Calibri" w:eastAsia="Calibri" w:ascii="Calibri"/>
                <w:sz w:val="19"/>
              </w:rPr>
              <w:t xml:space="preserve">(10%*of*12*months)</w:t>
            </w:r>
          </w:p>
        </w:tc>
        <w:tc>
          <w:tcPr>
            <w:tcW w:w="1092" w:type="dxa"/>
            <w:vMerge w:val="restart"/>
            <w:tcBorders>
              <w:top w:val="nil"/>
              <w:left w:val="nil"/>
              <w:bottom w:val="single" w:sz="13" w:color="000000"/>
              <w:right w:val="nil"/>
            </w:tcBorders>
            <w:vAlign w:val="top"/>
          </w:tcPr>
          <w:p>
            <w:pPr>
              <w:spacing w:before="0" w:after="6" w:line="259" w:lineRule="auto"/>
              <w:ind w:left="0" w:right="0" w:firstLine="0"/>
              <w:jc w:val="left"/>
            </w:pPr>
            <w:r>
              <w:rPr>
                <w:rFonts w:cs="Calibri" w:hAnsi="Calibri" w:eastAsia="Calibri" w:ascii="Calibri"/>
                <w:sz w:val="19"/>
              </w:rPr>
              <w:t xml:space="preserve">Months</w:t>
            </w:r>
          </w:p>
          <w:p>
            <w:pPr>
              <w:spacing w:before="0" w:after="6" w:line="259" w:lineRule="auto"/>
              <w:ind w:left="0" w:right="0" w:firstLine="0"/>
              <w:jc w:val="left"/>
            </w:pPr>
            <w:r>
              <w:rPr>
                <w:rFonts w:cs="Calibri" w:hAnsi="Calibri" w:eastAsia="Calibri" w:ascii="Calibri"/>
                <w:sz w:val="19"/>
              </w:rPr>
              <w:t xml:space="preserve">Months</w:t>
            </w:r>
          </w:p>
          <w:p>
            <w:pPr>
              <w:spacing w:before="0" w:after="0" w:line="259" w:lineRule="auto"/>
              <w:ind w:left="0" w:right="0" w:firstLine="0"/>
              <w:jc w:val="left"/>
            </w:pPr>
            <w:r>
              <w:rPr>
                <w:rFonts w:cs="Calibri" w:hAnsi="Calibri" w:eastAsia="Calibri" w:ascii="Calibri"/>
                <w:sz w:val="19"/>
              </w:rPr>
              <w:t xml:space="preserve">Months</w:t>
            </w:r>
          </w:p>
        </w:tc>
        <w:tc>
          <w:tcPr>
            <w:tcW w:w="913" w:type="dxa"/>
            <w:tcBorders>
              <w:top w:val="nil"/>
              <w:left w:val="nil"/>
              <w:bottom w:val="double" w:sz="6" w:color="000000"/>
              <w:right w:val="nil"/>
            </w:tcBorders>
            <w:vAlign w:val="top"/>
          </w:tcPr>
          <w:p>
            <w:pPr>
              <w:spacing w:before="0" w:after="0" w:line="265" w:lineRule="auto"/>
              <w:ind w:left="73" w:right="552" w:hanging="73"/>
              <w:jc w:val="left"/>
            </w:pPr>
            <w:r>
              <w:rPr>
                <w:rFonts w:cs="Calibri" w:hAnsi="Calibri" w:eastAsia="Calibri" w:ascii="Calibri"/>
                <w:sz w:val="19"/>
              </w:rPr>
              <w:t xml:space="preserve">3.6 8</w:t>
            </w:r>
          </w:p>
          <w:p>
            <w:pPr>
              <w:spacing w:before="0" w:after="0" w:line="259" w:lineRule="auto"/>
              <w:ind w:left="0" w:right="0" w:firstLine="0"/>
              <w:jc w:val="left"/>
            </w:pPr>
            <w:r>
              <w:rPr>
                <w:rFonts w:cs="Calibri" w:hAnsi="Calibri" w:eastAsia="Calibri" w:ascii="Calibri"/>
                <w:sz w:val="19"/>
              </w:rPr>
              <w:t xml:space="preserve">1.2</w:t>
            </w:r>
          </w:p>
        </w:tc>
        <w:tc>
          <w:tcPr>
            <w:tcW w:w="1104" w:type="dxa"/>
            <w:tcBorders>
              <w:top w:val="nil"/>
              <w:left w:val="nil"/>
              <w:bottom w:val="double" w:sz="6" w:color="000000"/>
              <w:right w:val="nil"/>
            </w:tcBorders>
            <w:vAlign w:val="top"/>
          </w:tcPr>
          <w:p>
            <w:pPr>
              <w:spacing w:before="0" w:after="6" w:line="259" w:lineRule="auto"/>
              <w:ind w:left="0" w:right="0" w:firstLine="0"/>
              <w:jc w:val="left"/>
            </w:pPr>
            <w:r>
              <w:rPr>
                <w:rFonts w:cs="Calibri" w:hAnsi="Calibri" w:eastAsia="Calibri" w:ascii="Calibri"/>
                <w:sz w:val="19"/>
              </w:rPr>
              <w:t xml:space="preserve">$21,517.24</w:t>
            </w:r>
          </w:p>
          <w:p>
            <w:pPr>
              <w:spacing w:before="0" w:after="6" w:line="259" w:lineRule="auto"/>
              <w:ind w:left="0" w:right="0" w:firstLine="0"/>
              <w:jc w:val="left"/>
            </w:pPr>
            <w:r>
              <w:rPr>
                <w:rFonts w:cs="Calibri" w:hAnsi="Calibri" w:eastAsia="Calibri" w:ascii="Calibri"/>
                <w:sz w:val="19"/>
              </w:rPr>
              <w:t xml:space="preserve">$18,666.47</w:t>
            </w:r>
          </w:p>
          <w:p>
            <w:pPr>
              <w:spacing w:before="0" w:after="0" w:line="259" w:lineRule="auto"/>
              <w:ind w:left="0" w:right="0" w:firstLine="0"/>
              <w:jc w:val="left"/>
            </w:pPr>
            <w:r>
              <w:rPr>
                <w:rFonts w:cs="Calibri" w:hAnsi="Calibri" w:eastAsia="Calibri" w:ascii="Calibri"/>
                <w:sz w:val="19"/>
              </w:rPr>
              <w:t xml:space="preserve">$21,517.24</w:t>
            </w:r>
          </w:p>
        </w:tc>
        <w:tc>
          <w:tcPr>
            <w:tcW w:w="1372" w:type="dxa"/>
            <w:tcBorders>
              <w:top w:val="nil"/>
              <w:left w:val="nil"/>
              <w:bottom w:val="double" w:sz="6" w:color="000000"/>
              <w:right w:val="nil"/>
            </w:tcBorders>
            <w:vAlign w:val="top"/>
          </w:tcPr>
          <w:p>
            <w:pPr>
              <w:spacing w:before="0" w:after="6" w:line="259" w:lineRule="auto"/>
              <w:ind w:left="0" w:right="0" w:firstLine="0"/>
              <w:jc w:val="right"/>
            </w:pPr>
            <w:r>
              <w:rPr>
                <w:rFonts w:cs="Calibri" w:hAnsi="Calibri" w:eastAsia="Calibri" w:ascii="Calibri"/>
                <w:sz w:val="19"/>
              </w:rPr>
              <w:t xml:space="preserve">$77,462.06</w:t>
            </w:r>
          </w:p>
          <w:p>
            <w:pPr>
              <w:spacing w:before="0" w:after="6" w:line="259" w:lineRule="auto"/>
              <w:ind w:left="0" w:right="3" w:firstLine="0"/>
              <w:jc w:val="right"/>
            </w:pPr>
            <w:r>
              <w:rPr>
                <w:rFonts w:cs="Calibri" w:hAnsi="Calibri" w:eastAsia="Calibri" w:ascii="Calibri"/>
                <w:sz w:val="19"/>
              </w:rPr>
              <w:t xml:space="preserve">$149,331.76</w:t>
            </w:r>
          </w:p>
          <w:p>
            <w:pPr>
              <w:spacing w:before="0" w:after="0" w:line="259" w:lineRule="auto"/>
              <w:ind w:left="0" w:right="0" w:firstLine="0"/>
              <w:jc w:val="right"/>
            </w:pPr>
            <w:r>
              <w:rPr>
                <w:rFonts w:cs="Calibri" w:hAnsi="Calibri" w:eastAsia="Calibri" w:ascii="Calibri"/>
                <w:sz w:val="19"/>
              </w:rPr>
              <w:t xml:space="preserve">$25,820.69</w:t>
            </w:r>
          </w:p>
        </w:tc>
      </w:tr>
      <w:tr>
        <w:trPr>
          <w:trHeight w:val="284" w:hRule="atLeast"/>
        </w:trPr>
        <w:tc>
          <w:tcPr>
            <w:vMerge w:val="continue"/>
            <w:tcBorders>
              <w:top w:val="nil"/>
              <w:left w:val="nil"/>
              <w:bottom w:val="single" w:sz="13" w:color="000000"/>
              <w:right w:val="nil"/>
            </w:tcBorders>
            <w:vAlign w:val="top"/>
          </w:tcPr>
          <w:p>
            <w:pPr>
              <w:bidi w:val="0"/>
              <w:spacing w:before="0" w:after="160" w:line="259" w:lineRule="auto"/>
              <w:ind w:left="0" w:right="0" w:firstLine="0"/>
              <w:jc w:val="left"/>
            </w:pPr>
          </w:p>
        </w:tc>
        <w:tc>
          <w:tcPr>
            <w:vMerge w:val="continue"/>
            <w:tcBorders>
              <w:top w:val="nil"/>
              <w:left w:val="nil"/>
              <w:bottom w:val="single" w:sz="13" w:color="000000"/>
              <w:right w:val="nil"/>
            </w:tcBorders>
            <w:vAlign w:val="top"/>
          </w:tcPr>
          <w:p>
            <w:pPr>
              <w:bidi w:val="0"/>
              <w:spacing w:before="0" w:after="160" w:line="259" w:lineRule="auto"/>
              <w:ind w:left="0" w:right="0" w:firstLine="0"/>
              <w:jc w:val="left"/>
            </w:pPr>
          </w:p>
        </w:tc>
        <w:tc>
          <w:tcPr>
            <w:vMerge w:val="continue"/>
            <w:tcBorders>
              <w:top w:val="nil"/>
              <w:left w:val="nil"/>
              <w:bottom w:val="single" w:sz="13" w:color="000000"/>
              <w:right w:val="nil"/>
            </w:tcBorders>
            <w:vAlign w:val="top"/>
          </w:tcPr>
          <w:p>
            <w:pPr>
              <w:bidi w:val="0"/>
              <w:spacing w:before="0" w:after="160" w:line="259" w:lineRule="auto"/>
              <w:ind w:left="0" w:right="0" w:firstLine="0"/>
              <w:jc w:val="left"/>
            </w:pPr>
          </w:p>
        </w:tc>
        <w:tc>
          <w:tcPr>
            <w:tcW w:w="913" w:type="dxa"/>
            <w:tcBorders>
              <w:top w:val="double" w:sz="6" w:color="000000"/>
              <w:left w:val="nil"/>
              <w:bottom w:val="single" w:sz="13" w:color="000000"/>
              <w:right w:val="nil"/>
            </w:tcBorders>
            <w:vAlign w:val="center"/>
          </w:tcPr>
          <w:p>
            <w:pPr>
              <w:bidi w:val="0"/>
              <w:spacing w:before="0" w:after="160" w:line="259" w:lineRule="auto"/>
              <w:ind w:left="0" w:right="0" w:firstLine="0"/>
              <w:jc w:val="left"/>
            </w:pPr>
          </w:p>
        </w:tc>
        <w:tc>
          <w:tcPr>
            <w:tcW w:w="1104" w:type="dxa"/>
            <w:tcBorders>
              <w:top w:val="double" w:sz="6" w:color="000000"/>
              <w:left w:val="nil"/>
              <w:bottom w:val="single" w:sz="13" w:color="000000"/>
              <w:right w:val="nil"/>
            </w:tcBorders>
            <w:vAlign w:val="top"/>
          </w:tcPr>
          <w:p>
            <w:pPr>
              <w:spacing w:before="0" w:after="0" w:line="259" w:lineRule="auto"/>
              <w:ind w:left="0" w:right="6" w:firstLine="0"/>
              <w:jc w:val="right"/>
            </w:pPr>
            <w:r>
              <w:rPr>
                <w:rFonts w:cs="Calibri" w:hAnsi="Calibri" w:eastAsia="Calibri" w:ascii="Calibri"/>
                <w:b w:val="1"/>
                <w:sz w:val="19"/>
              </w:rPr>
              <w:t xml:space="preserve">SUBTOTAL:</w:t>
            </w:r>
          </w:p>
        </w:tc>
        <w:tc>
          <w:tcPr>
            <w:tcW w:w="1372" w:type="dxa"/>
            <w:tcBorders>
              <w:top w:val="double" w:sz="6" w:color="000000"/>
              <w:left w:val="nil"/>
              <w:bottom w:val="single" w:sz="13" w:color="000000"/>
              <w:right w:val="nil"/>
            </w:tcBorders>
            <w:vAlign w:val="top"/>
          </w:tcPr>
          <w:p>
            <w:pPr>
              <w:spacing w:before="0" w:after="0" w:line="259" w:lineRule="auto"/>
              <w:ind w:left="0" w:right="3" w:firstLine="0"/>
              <w:jc w:val="right"/>
            </w:pPr>
            <w:r>
              <w:rPr>
                <w:rFonts w:cs="Calibri" w:hAnsi="Calibri" w:eastAsia="Calibri" w:ascii="Calibri"/>
                <w:b w:val="1"/>
                <w:sz w:val="19"/>
              </w:rPr>
              <w:t xml:space="preserve">$252,614.51</w:t>
            </w:r>
          </w:p>
        </w:tc>
      </w:tr>
      <w:tr>
        <w:trPr>
          <w:trHeight w:val="268" w:hRule="atLeast"/>
        </w:trPr>
        <w:tc>
          <w:tcPr>
            <w:tcW w:w="11698" w:type="dxa"/>
            <w:gridSpan w:val="5"/>
            <w:tcBorders>
              <w:top w:val="single" w:sz="13" w:color="000000"/>
              <w:left w:val="single" w:sz="13" w:color="000000"/>
              <w:bottom w:val="single" w:sz="13" w:color="000000"/>
              <w:right w:val="single" w:sz="13" w:color="000000"/>
            </w:tcBorders>
            <w:shd w:val="clear" w:fill="f3dcda"/>
            <w:vAlign w:val="top"/>
          </w:tcPr>
          <w:p>
            <w:pPr>
              <w:spacing w:before="0" w:after="0" w:line="259" w:lineRule="auto"/>
              <w:ind w:left="0" w:right="58" w:firstLine="0"/>
              <w:jc w:val="right"/>
            </w:pPr>
            <w:r>
              <w:rPr>
                <w:rFonts w:cs="Calibri" w:hAnsi="Calibri" w:eastAsia="Calibri" w:ascii="Calibri"/>
                <w:b w:val="1"/>
                <w:sz w:val="19"/>
              </w:rPr>
              <w:t xml:space="preserve">TOTAL7ESTIMATED7COMPONENT/OUTPUT7COSTS72013Y2014:</w:t>
            </w:r>
          </w:p>
        </w:tc>
        <w:tc>
          <w:tcPr>
            <w:tcW w:w="1372" w:type="dxa"/>
            <w:tcBorders>
              <w:top w:val="single" w:sz="13" w:color="000000"/>
              <w:left w:val="single" w:sz="13" w:color="000000"/>
              <w:bottom w:val="single" w:sz="13" w:color="000000"/>
              <w:right w:val="single" w:sz="13" w:color="000000"/>
            </w:tcBorders>
            <w:shd w:val="clear" w:fill="f3dcda"/>
            <w:vAlign w:val="top"/>
          </w:tcPr>
          <w:p>
            <w:pPr>
              <w:spacing w:before="0" w:after="0" w:line="259" w:lineRule="auto"/>
              <w:ind w:left="0" w:right="3" w:firstLine="0"/>
              <w:jc w:val="right"/>
            </w:pPr>
            <w:r>
              <w:rPr>
                <w:rFonts w:cs="Calibri" w:hAnsi="Calibri" w:eastAsia="Calibri" w:ascii="Calibri"/>
                <w:b w:val="1"/>
                <w:sz w:val="19"/>
              </w:rPr>
              <w:t xml:space="preserve">$390,938.51</w:t>
            </w:r>
          </w:p>
        </w:tc>
      </w:tr>
    </w:tbl>
    <w:tbl>
      <w:tblPr>
        <w:tblStyle w:val="TableGrid"/>
        <w:tblW w:w="6440" w:type="dxa"/>
        <w:tblInd w:w="5928" w:type="dxa"/>
        <w:tblCellMar>
          <w:top w:w="0" w:type="dxa"/>
          <w:left w:w="0" w:type="dxa"/>
          <w:bottom w:w="0" w:type="dxa"/>
          <w:right w:w="0" w:type="dxa"/>
        </w:tblCellMar>
      </w:tblPr>
      <w:tblGrid>
        <w:gridCol w:w="5605"/>
        <w:gridCol w:w="835"/>
      </w:tblGrid>
      <w:tr>
        <w:trPr>
          <w:trHeight w:val="228" w:hRule="atLeast"/>
        </w:trPr>
        <w:tc>
          <w:tcPr>
            <w:tcW w:w="5605"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9"/>
              </w:rPr>
              <w:t xml:space="preserve">2*OF*2</w:t>
            </w:r>
          </w:p>
        </w:tc>
        <w:tc>
          <w:tcPr>
            <w:tcW w:w="835" w:type="dxa"/>
            <w:tcBorders>
              <w:top w:val="nil"/>
              <w:left w:val="nil"/>
              <w:bottom w:val="nil"/>
              <w:right w:val="nil"/>
            </w:tcBorders>
            <w:vAlign w:val="top"/>
          </w:tcPr>
          <w:p>
            <w:pPr>
              <w:spacing w:before="0" w:after="0" w:line="259" w:lineRule="auto"/>
              <w:ind w:left="0" w:right="0" w:firstLine="0"/>
              <w:jc w:val="right"/>
            </w:pPr>
            <w:r>
              <w:rPr>
                <w:rFonts w:cs="Calibri" w:hAnsi="Calibri" w:eastAsia="Calibri" w:ascii="Calibri"/>
                <w:sz w:val="19"/>
              </w:rPr>
              <w:t xml:space="preserve">7/1/13</w:t>
            </w:r>
          </w:p>
        </w:tc>
      </w:tr>
    </w:tbl>
    <w:p>
      <w:pPr>
        <w:spacing w:before="0" w:after="165" w:line="259" w:lineRule="auto"/>
        <w:ind w:left="3667" w:right="0" w:firstLine="0"/>
        <w:jc w:val="left"/>
      </w:pPr>
      <w:r>
        <w:rPr>
          <w:rFonts w:cs="Calibri" w:hAnsi="Calibri" w:eastAsia="Calibri" w:ascii="Calibri"/>
          <w:sz w:val="16"/>
        </w:rPr>
        <w:t xml:space="preserve">DEMOCRATIC*EMPOWERMENT*PROJECT*WORK*PLAN*BUDGET*2013*8*2014</w:t>
      </w:r>
    </w:p>
    <w:tbl>
      <w:tblPr>
        <w:tblStyle w:val="TableGrid"/>
        <w:tblW w:w="12349" w:type="dxa"/>
        <w:tblInd w:w="-29" w:type="dxa"/>
        <w:tblCellMar>
          <w:top w:w="0" w:type="dxa"/>
          <w:left w:w="0" w:type="dxa"/>
          <w:bottom w:w="9" w:type="dxa"/>
          <w:right w:w="19" w:type="dxa"/>
        </w:tblCellMar>
      </w:tblPr>
      <w:tblGrid>
        <w:gridCol w:w="4778"/>
        <w:gridCol w:w="2915"/>
        <w:gridCol w:w="1135"/>
        <w:gridCol w:w="1239"/>
        <w:gridCol w:w="1128"/>
        <w:gridCol w:w="369"/>
        <w:gridCol w:w="784"/>
      </w:tblGrid>
      <w:tr>
        <w:trPr>
          <w:trHeight w:val="211" w:hRule="atLeast"/>
        </w:trPr>
        <w:tc>
          <w:tcPr>
            <w:tcW w:w="11196" w:type="dxa"/>
            <w:gridSpan w:val="5"/>
            <w:tcBorders>
              <w:top w:val="nil"/>
              <w:left w:val="nil"/>
              <w:bottom w:val="nil"/>
              <w:right w:val="nil"/>
            </w:tcBorders>
            <w:shd w:val="clear" w:fill="eaf1dd"/>
            <w:vAlign w:val="top"/>
          </w:tcPr>
          <w:p>
            <w:pPr>
              <w:spacing w:before="0" w:after="0" w:line="259" w:lineRule="auto"/>
              <w:ind w:left="80" w:right="0" w:firstLine="0"/>
              <w:jc w:val="left"/>
            </w:pPr>
            <w:r>
              <w:rPr>
                <w:rFonts w:cs="Calibri" w:hAnsi="Calibri" w:eastAsia="Calibri" w:ascii="Calibri"/>
                <w:b w:val="1"/>
                <w:sz w:val="16"/>
              </w:rPr>
              <w:t xml:space="preserve">COMPONENT%2:%%SUPPORT%IMPROVEMENT%OF%EMB%INTEGRITY%AND%MANAGEMENT%CAPACITIES%</w:t>
            </w:r>
          </w:p>
        </w:tc>
        <w:tc>
          <w:tcPr>
            <w:tcW w:w="1153" w:type="dxa"/>
            <w:gridSpan w:val="2"/>
            <w:tcBorders>
              <w:top w:val="nil"/>
              <w:left w:val="nil"/>
              <w:bottom w:val="nil"/>
              <w:right w:val="nil"/>
            </w:tcBorders>
            <w:shd w:val="clear" w:fill="eaf1dd"/>
            <w:vAlign w:val="top"/>
          </w:tcPr>
          <w:p>
            <w:pPr>
              <w:bidi w:val="0"/>
              <w:spacing w:before="0" w:after="160" w:line="259" w:lineRule="auto"/>
              <w:ind w:left="0" w:right="0" w:firstLine="0"/>
              <w:jc w:val="left"/>
            </w:pPr>
          </w:p>
        </w:tc>
      </w:tr>
      <w:tr>
        <w:trPr>
          <w:trHeight w:val="82" w:hRule="atLeast"/>
        </w:trPr>
        <w:tc>
          <w:tcPr>
            <w:tcW w:w="11196" w:type="dxa"/>
            <w:gridSpan w:val="5"/>
            <w:tcBorders>
              <w:top w:val="nil"/>
              <w:left w:val="nil"/>
              <w:bottom w:val="nil"/>
              <w:right w:val="nil"/>
            </w:tcBorders>
            <w:vAlign w:val="top"/>
          </w:tcPr>
          <w:p>
            <w:pPr>
              <w:bidi w:val="0"/>
              <w:spacing w:before="0" w:after="160" w:line="259" w:lineRule="auto"/>
              <w:ind w:left="0" w:right="0" w:firstLine="0"/>
              <w:jc w:val="left"/>
            </w:pPr>
          </w:p>
        </w:tc>
        <w:tc>
          <w:tcPr>
            <w:tcW w:w="1153" w:type="dxa"/>
            <w:gridSpan w:val="2"/>
            <w:tcBorders>
              <w:top w:val="nil"/>
              <w:left w:val="nil"/>
              <w:bottom w:val="nil"/>
              <w:right w:val="nil"/>
            </w:tcBorders>
            <w:vAlign w:val="top"/>
          </w:tcPr>
          <w:p>
            <w:pPr>
              <w:bidi w:val="0"/>
              <w:spacing w:before="0" w:after="160" w:line="259" w:lineRule="auto"/>
              <w:ind w:left="0" w:right="0" w:firstLine="0"/>
              <w:jc w:val="left"/>
            </w:pPr>
          </w:p>
        </w:tc>
      </w:tr>
      <w:tr>
        <w:trPr>
          <w:trHeight w:val="211" w:hRule="atLeast"/>
        </w:trPr>
        <w:tc>
          <w:tcPr>
            <w:tcW w:w="11196" w:type="dxa"/>
            <w:gridSpan w:val="5"/>
            <w:tcBorders>
              <w:top w:val="nil"/>
              <w:left w:val="nil"/>
              <w:bottom w:val="nil"/>
              <w:right w:val="nil"/>
            </w:tcBorders>
            <w:shd w:val="clear" w:fill="f3dcda"/>
            <w:vAlign w:val="top"/>
          </w:tcPr>
          <w:p>
            <w:pPr>
              <w:spacing w:before="0" w:after="0" w:line="259" w:lineRule="auto"/>
              <w:ind w:left="80" w:right="0" w:firstLine="0"/>
              <w:jc w:val="left"/>
            </w:pPr>
            <w:r>
              <w:rPr>
                <w:rFonts w:cs="Calibri" w:hAnsi="Calibri" w:eastAsia="Calibri" w:ascii="Calibri"/>
                <w:b w:val="1"/>
                <w:sz w:val="16"/>
              </w:rPr>
              <w:t xml:space="preserve">Output%1:%EMBs%strategic%planning%and%policy7making%capacities%improved.</w:t>
            </w:r>
          </w:p>
        </w:tc>
        <w:tc>
          <w:tcPr>
            <w:tcW w:w="1153" w:type="dxa"/>
            <w:gridSpan w:val="2"/>
            <w:tcBorders>
              <w:top w:val="nil"/>
              <w:left w:val="nil"/>
              <w:bottom w:val="nil"/>
              <w:right w:val="nil"/>
            </w:tcBorders>
            <w:shd w:val="clear" w:fill="f3dcda"/>
            <w:vAlign w:val="top"/>
          </w:tcPr>
          <w:p>
            <w:pPr>
              <w:bidi w:val="0"/>
              <w:spacing w:before="0" w:after="160" w:line="259" w:lineRule="auto"/>
              <w:ind w:left="0" w:right="0" w:firstLine="0"/>
              <w:jc w:val="left"/>
            </w:pPr>
          </w:p>
        </w:tc>
      </w:tr>
      <w:tr>
        <w:trPr>
          <w:trHeight w:val="82" w:hRule="atLeast"/>
        </w:trPr>
        <w:tc>
          <w:tcPr>
            <w:tcW w:w="11196" w:type="dxa"/>
            <w:gridSpan w:val="5"/>
            <w:tcBorders>
              <w:top w:val="nil"/>
              <w:left w:val="nil"/>
              <w:bottom w:val="nil"/>
              <w:right w:val="nil"/>
            </w:tcBorders>
            <w:vAlign w:val="top"/>
          </w:tcPr>
          <w:p>
            <w:pPr>
              <w:bidi w:val="0"/>
              <w:spacing w:before="0" w:after="160" w:line="259" w:lineRule="auto"/>
              <w:ind w:left="0" w:right="0" w:firstLine="0"/>
              <w:jc w:val="left"/>
            </w:pPr>
          </w:p>
        </w:tc>
        <w:tc>
          <w:tcPr>
            <w:tcW w:w="1153" w:type="dxa"/>
            <w:gridSpan w:val="2"/>
            <w:tcBorders>
              <w:top w:val="nil"/>
              <w:left w:val="nil"/>
              <w:bottom w:val="nil"/>
              <w:right w:val="nil"/>
            </w:tcBorders>
            <w:vAlign w:val="top"/>
          </w:tcPr>
          <w:p>
            <w:pPr>
              <w:bidi w:val="0"/>
              <w:spacing w:before="0" w:after="160" w:line="259" w:lineRule="auto"/>
              <w:ind w:left="0" w:right="0" w:firstLine="0"/>
              <w:jc w:val="left"/>
            </w:pPr>
          </w:p>
        </w:tc>
      </w:tr>
      <w:tr>
        <w:trPr>
          <w:trHeight w:val="222" w:hRule="atLeast"/>
        </w:trPr>
        <w:tc>
          <w:tcPr>
            <w:tcW w:w="11196" w:type="dxa"/>
            <w:gridSpan w:val="5"/>
            <w:tcBorders>
              <w:top w:val="nil"/>
              <w:left w:val="nil"/>
              <w:bottom w:val="single" w:sz="11" w:color="000000"/>
              <w:right w:val="nil"/>
            </w:tcBorders>
            <w:shd w:val="clear" w:fill="dce6f1"/>
            <w:vAlign w:val="top"/>
          </w:tcPr>
          <w:p>
            <w:pPr>
              <w:tabs>
                <w:tab w:val="center" w:pos="403"/>
                <w:tab w:val="center" w:pos="3735"/>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6"/>
              </w:rPr>
              <w:t xml:space="preserve">2.1.1	</w:t>
            </w:r>
            <w:r>
              <w:rPr>
                <w:rFonts w:cs="Calibri" w:hAnsi="Calibri" w:eastAsia="Calibri" w:ascii="Calibri"/>
                <w:b w:val="1"/>
                <w:sz w:val="16"/>
              </w:rPr>
              <w:t xml:space="preserve">Support%the%development%and%operationalization%of%strategic%plans%for%NEC%and%ZEC%</w:t>
            </w:r>
          </w:p>
        </w:tc>
        <w:tc>
          <w:tcPr>
            <w:tcW w:w="1153" w:type="dxa"/>
            <w:gridSpan w:val="2"/>
            <w:tcBorders>
              <w:top w:val="nil"/>
              <w:left w:val="nil"/>
              <w:bottom w:val="single" w:sz="11" w:color="000000"/>
              <w:right w:val="nil"/>
            </w:tcBorders>
            <w:shd w:val="clear" w:fill="dce6f1"/>
            <w:vAlign w:val="top"/>
          </w:tcPr>
          <w:p>
            <w:pPr>
              <w:bidi w:val="0"/>
              <w:spacing w:before="0" w:after="160" w:line="259" w:lineRule="auto"/>
              <w:ind w:left="0" w:right="0" w:firstLine="0"/>
              <w:jc w:val="left"/>
            </w:pPr>
          </w:p>
        </w:tc>
      </w:tr>
      <w:tr>
        <w:trPr>
          <w:trHeight w:val="845" w:hRule="atLeast"/>
        </w:trPr>
        <w:tc>
          <w:tcPr>
            <w:tcW w:w="11565" w:type="dxa"/>
            <w:gridSpan w:val="6"/>
            <w:tcBorders>
              <w:top w:val="single" w:sz="11" w:color="000000"/>
              <w:left w:val="nil"/>
              <w:bottom w:val="nil"/>
              <w:right w:val="nil"/>
            </w:tcBorders>
            <w:vAlign w:val="top"/>
          </w:tcPr>
          <w:p>
            <w:pPr>
              <w:tabs>
                <w:tab w:val="center" w:pos="2396"/>
                <w:tab w:val="center" w:pos="6093"/>
                <w:tab w:val="center" w:pos="7876"/>
                <w:tab w:val="center" w:pos="8911"/>
                <w:tab w:val="center" w:pos="10186"/>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6"/>
              </w:rPr>
              <w:t xml:space="preserve">%ACTIVITY%	ITEM	UNIT	NO.%UNITS	ITEM%COST</w:t>
            </w:r>
          </w:p>
          <w:p>
            <w:pPr>
              <w:spacing w:before="0" w:after="0" w:line="257" w:lineRule="auto"/>
              <w:ind w:left="28" w:right="0" w:firstLine="1"/>
              <w:jc w:val="left"/>
            </w:pPr>
            <w:r>
              <w:rPr>
                <w:rFonts w:cs="Calibri" w:hAnsi="Calibri" w:eastAsia="Calibri" w:ascii="Calibri"/>
                <w:sz w:val="16"/>
              </w:rPr>
              <w:t xml:space="preserve">*A.*NEC*Strategic*Planning*&amp;*teambuilding*workshop.**Participants*	*Service*Contract*8*Strategic*Planning*&amp;*	*Ea.*	</w:t>
            </w:r>
            <w:r>
              <w:rPr>
                <w:rFonts w:cs="Calibri" w:hAnsi="Calibri" w:eastAsia="Calibri" w:ascii="Calibri"/>
                <w:sz w:val="16"/>
              </w:rPr>
              <w:t xml:space="preserve">1	$25,000.00 </w:t>
            </w:r>
            <w:r>
              <w:rPr>
                <w:rFonts w:cs="Calibri" w:hAnsi="Calibri" w:eastAsia="Calibri" w:ascii="Calibri"/>
                <w:sz w:val="16"/>
              </w:rPr>
              <w:t xml:space="preserve">include*Commissioners*&amp;*senior*staff.*	Training*</w:t>
            </w:r>
          </w:p>
          <w:p>
            <w:pPr>
              <w:tabs>
                <w:tab w:val="center" w:pos="5294"/>
                <w:tab w:val="center" w:pos="7893"/>
                <w:tab w:val="center" w:pos="8910"/>
                <w:tab w:val="center" w:pos="10475"/>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6"/>
              </w:rPr>
              <w:t xml:space="preserve">*Meeting*Costs*	*Pool*	</w:t>
            </w:r>
            <w:r>
              <w:rPr>
                <w:rFonts w:cs="Calibri" w:hAnsi="Calibri" w:eastAsia="Calibri" w:ascii="Calibri"/>
                <w:sz w:val="16"/>
              </w:rPr>
              <w:t xml:space="preserve">1	$15,000.00</w:t>
            </w:r>
          </w:p>
        </w:tc>
        <w:tc>
          <w:tcPr>
            <w:tcW w:w="784" w:type="dxa"/>
            <w:tcBorders>
              <w:top w:val="single" w:sz="11" w:color="000000"/>
              <w:left w:val="nil"/>
              <w:bottom w:val="double" w:sz="6" w:color="000000"/>
              <w:right w:val="nil"/>
            </w:tcBorders>
            <w:vAlign w:val="top"/>
          </w:tcPr>
          <w:p>
            <w:pPr>
              <w:spacing w:before="0" w:after="0" w:line="259" w:lineRule="auto"/>
              <w:ind w:left="-369" w:right="303" w:firstLine="0"/>
              <w:jc w:val="center"/>
            </w:pPr>
            <w:r>
              <w:rPr>
                <w:rFonts w:cs="Calibri" w:hAnsi="Calibri" w:eastAsia="Calibri" w:ascii="Calibri"/>
                <w:b w:val="1"/>
                <w:sz w:val="16"/>
              </w:rPr>
              <w:t xml:space="preserve">ITEM%TOTAL</w:t>
            </w:r>
          </w:p>
          <w:p>
            <w:pPr>
              <w:spacing w:before="0" w:after="184" w:line="259" w:lineRule="auto"/>
              <w:ind w:left="14" w:right="0" w:firstLine="0"/>
            </w:pPr>
            <w:r>
              <w:rPr>
                <w:rFonts w:cs="Calibri" w:hAnsi="Calibri" w:eastAsia="Calibri" w:ascii="Calibri"/>
                <w:sz w:val="16"/>
              </w:rPr>
              <w:t xml:space="preserve">$25,000.00</w:t>
            </w:r>
          </w:p>
          <w:p>
            <w:pPr>
              <w:spacing w:before="0" w:after="0" w:line="259" w:lineRule="auto"/>
              <w:ind w:left="14" w:right="0" w:firstLine="0"/>
            </w:pPr>
            <w:r>
              <w:rPr>
                <w:rFonts w:cs="Calibri" w:hAnsi="Calibri" w:eastAsia="Calibri" w:ascii="Calibri"/>
                <w:sz w:val="16"/>
              </w:rPr>
              <w:t xml:space="preserve">$15,000.00</w:t>
            </w:r>
          </w:p>
        </w:tc>
      </w:tr>
      <w:tr>
        <w:trPr>
          <w:trHeight w:val="1067" w:hRule="atLeast"/>
        </w:trPr>
        <w:tc>
          <w:tcPr>
            <w:tcW w:w="11565" w:type="dxa"/>
            <w:gridSpan w:val="6"/>
            <w:tcBorders>
              <w:top w:val="nil"/>
              <w:left w:val="nil"/>
              <w:bottom w:val="nil"/>
              <w:right w:val="nil"/>
            </w:tcBorders>
            <w:vAlign w:val="bottom"/>
          </w:tcPr>
          <w:p>
            <w:pPr>
              <w:spacing w:before="0" w:after="0" w:line="257" w:lineRule="auto"/>
              <w:ind w:left="27" w:right="0" w:firstLine="2"/>
              <w:jc w:val="left"/>
            </w:pPr>
            <w:r>
              <w:rPr>
                <w:rFonts w:cs="Calibri" w:hAnsi="Calibri" w:eastAsia="Calibri" w:ascii="Calibri"/>
                <w:sz w:val="16"/>
              </w:rPr>
              <w:t xml:space="preserve">*B.**ZEC*Strategic*Planning*&amp;*teambuilding*workshop.**Participants*	*Service*Contract*8*Strategic*Planning*&amp;*	*Ea.*	</w:t>
            </w:r>
            <w:r>
              <w:rPr>
                <w:rFonts w:cs="Calibri" w:hAnsi="Calibri" w:eastAsia="Calibri" w:ascii="Calibri"/>
                <w:sz w:val="16"/>
              </w:rPr>
              <w:t xml:space="preserve">1	$20,000.00 </w:t>
            </w:r>
            <w:r>
              <w:rPr>
                <w:rFonts w:cs="Calibri" w:hAnsi="Calibri" w:eastAsia="Calibri" w:ascii="Calibri"/>
                <w:sz w:val="16"/>
              </w:rPr>
              <w:t xml:space="preserve">include*Commissioners*&amp;*senior*staff.*	Training*</w:t>
            </w:r>
          </w:p>
          <w:p>
            <w:pPr>
              <w:tabs>
                <w:tab w:val="center" w:pos="5294"/>
                <w:tab w:val="center" w:pos="7893"/>
                <w:tab w:val="center" w:pos="8910"/>
                <w:tab w:val="center" w:pos="10475"/>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6"/>
              </w:rPr>
              <w:t xml:space="preserve">*Meeting*Costs*	*Pool*	</w:t>
            </w:r>
            <w:r>
              <w:rPr>
                <w:rFonts w:cs="Calibri" w:hAnsi="Calibri" w:eastAsia="Calibri" w:ascii="Calibri"/>
                <w:sz w:val="16"/>
              </w:rPr>
              <w:t xml:space="preserve">1	$10,000.00</w:t>
            </w:r>
          </w:p>
        </w:tc>
        <w:tc>
          <w:tcPr>
            <w:tcW w:w="784" w:type="dxa"/>
            <w:tcBorders>
              <w:top w:val="double" w:sz="6" w:color="000000"/>
              <w:left w:val="nil"/>
              <w:bottom w:val="double" w:sz="6" w:color="000000"/>
              <w:right w:val="nil"/>
            </w:tcBorders>
            <w:vAlign w:val="top"/>
          </w:tcPr>
          <w:p>
            <w:pPr>
              <w:spacing w:before="0" w:after="198" w:line="259" w:lineRule="auto"/>
              <w:ind w:left="14" w:right="0" w:firstLine="0"/>
            </w:pPr>
            <w:r>
              <w:rPr>
                <w:rFonts w:cs="Calibri" w:hAnsi="Calibri" w:eastAsia="Calibri" w:ascii="Calibri"/>
                <w:sz w:val="16"/>
              </w:rPr>
              <w:t xml:space="preserve">$40,000.00</w:t>
            </w:r>
          </w:p>
          <w:p>
            <w:pPr>
              <w:spacing w:before="0" w:after="184" w:line="259" w:lineRule="auto"/>
              <w:ind w:left="14" w:right="0" w:firstLine="0"/>
            </w:pPr>
            <w:r>
              <w:rPr>
                <w:rFonts w:cs="Calibri" w:hAnsi="Calibri" w:eastAsia="Calibri" w:ascii="Calibri"/>
                <w:sz w:val="16"/>
              </w:rPr>
              <w:t xml:space="preserve">$20,000.00</w:t>
            </w:r>
          </w:p>
          <w:p>
            <w:pPr>
              <w:spacing w:before="0" w:after="0" w:line="259" w:lineRule="auto"/>
              <w:ind w:left="14" w:right="0" w:firstLine="0"/>
            </w:pPr>
            <w:r>
              <w:rPr>
                <w:rFonts w:cs="Calibri" w:hAnsi="Calibri" w:eastAsia="Calibri" w:ascii="Calibri"/>
                <w:sz w:val="16"/>
              </w:rPr>
              <w:t xml:space="preserve">$10,000.00</w:t>
            </w:r>
          </w:p>
        </w:tc>
      </w:tr>
      <w:tr>
        <w:trPr>
          <w:trHeight w:val="430" w:hRule="atLeast"/>
        </w:trPr>
        <w:tc>
          <w:tcPr>
            <w:tcW w:w="11565" w:type="dxa"/>
            <w:gridSpan w:val="6"/>
            <w:tcBorders>
              <w:top w:val="nil"/>
              <w:left w:val="nil"/>
              <w:bottom w:val="nil"/>
              <w:right w:val="nil"/>
            </w:tcBorders>
            <w:vAlign w:val="bottom"/>
          </w:tcPr>
          <w:p>
            <w:pPr>
              <w:spacing w:before="0" w:after="0" w:line="259" w:lineRule="auto"/>
              <w:ind w:left="0" w:right="711" w:firstLine="0"/>
              <w:jc w:val="right"/>
            </w:pPr>
            <w:r>
              <w:rPr>
                <w:rFonts w:cs="Calibri" w:hAnsi="Calibri" w:eastAsia="Calibri" w:ascii="Calibri"/>
                <w:b w:val="1"/>
                <w:sz w:val="16"/>
              </w:rPr>
              <w:t xml:space="preserve">SUBTOTAL:</w:t>
            </w:r>
          </w:p>
        </w:tc>
        <w:tc>
          <w:tcPr>
            <w:tcW w:w="784" w:type="dxa"/>
            <w:tcBorders>
              <w:top w:val="double" w:sz="6" w:color="000000"/>
              <w:left w:val="nil"/>
              <w:bottom w:val="nil"/>
              <w:right w:val="nil"/>
            </w:tcBorders>
            <w:vAlign w:val="top"/>
          </w:tcPr>
          <w:p>
            <w:pPr>
              <w:spacing w:before="0" w:after="0" w:line="259" w:lineRule="auto"/>
              <w:ind w:left="0" w:right="0" w:firstLine="14"/>
              <w:jc w:val="left"/>
            </w:pPr>
            <w:r>
              <w:rPr>
                <w:rFonts w:cs="Calibri" w:hAnsi="Calibri" w:eastAsia="Calibri" w:ascii="Calibri"/>
                <w:sz w:val="16"/>
              </w:rPr>
              <w:t xml:space="preserve">$30,000.00 </w:t>
            </w:r>
            <w:r>
              <w:rPr>
                <w:rFonts w:cs="Calibri" w:hAnsi="Calibri" w:eastAsia="Calibri" w:ascii="Calibri"/>
                <w:b w:val="1"/>
                <w:sz w:val="16"/>
              </w:rPr>
              <w:t xml:space="preserve">$70,000.00</w:t>
            </w:r>
          </w:p>
        </w:tc>
      </w:tr>
      <w:tr>
        <w:trPr>
          <w:trHeight w:val="469" w:hRule="atLeast"/>
        </w:trPr>
        <w:tc>
          <w:tcPr>
            <w:tcW w:w="11565" w:type="dxa"/>
            <w:gridSpan w:val="6"/>
            <w:tcBorders>
              <w:top w:val="nil"/>
              <w:left w:val="nil"/>
              <w:bottom w:val="nil"/>
              <w:right w:val="nil"/>
            </w:tcBorders>
            <w:shd w:val="clear" w:fill="dce6f1"/>
            <w:vAlign w:val="top"/>
          </w:tcPr>
          <w:p>
            <w:pPr>
              <w:spacing w:before="0" w:after="0" w:line="259" w:lineRule="auto"/>
              <w:ind w:left="820" w:right="0" w:hanging="791"/>
              <w:jc w:val="left"/>
            </w:pPr>
            <w:r>
              <w:rPr>
                <w:rFonts w:cs="Calibri" w:hAnsi="Calibri" w:eastAsia="Calibri" w:ascii="Calibri"/>
                <w:b w:val="1"/>
                <w:sz w:val="16"/>
              </w:rPr>
              <w:t xml:space="preserve">2.1.2.	</w:t>
            </w:r>
            <w:r>
              <w:rPr>
                <w:rFonts w:cs="Calibri" w:hAnsi="Calibri" w:eastAsia="Calibri" w:ascii="Calibri"/>
                <w:b w:val="1"/>
                <w:sz w:val="16"/>
              </w:rPr>
              <w:t xml:space="preserve">Support%the%development%and%implementation%of%policies%and%business%processes%and%policies%including%gender%policies,%elections%calendar,%logistics%plans,% communication%and%stakeholder%engagement%strategies%</w:t>
            </w:r>
          </w:p>
        </w:tc>
        <w:tc>
          <w:tcPr>
            <w:tcW w:w="784"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695" w:hRule="atLeast"/>
        </w:trPr>
        <w:tc>
          <w:tcPr>
            <w:tcW w:w="4778" w:type="dxa"/>
            <w:vMerge w:val="restart"/>
            <w:tcBorders>
              <w:top w:val="nil"/>
              <w:left w:val="nil"/>
              <w:bottom w:val="nil"/>
              <w:right w:val="nil"/>
            </w:tcBorders>
            <w:vAlign w:val="top"/>
          </w:tcPr>
          <w:p>
            <w:pPr>
              <w:spacing w:before="0" w:after="319" w:line="252" w:lineRule="auto"/>
              <w:ind w:left="29" w:right="0" w:firstLine="0"/>
              <w:jc w:val="left"/>
            </w:pPr>
            <w:r>
              <w:rPr>
                <w:rFonts w:cs="Calibri" w:hAnsi="Calibri" w:eastAsia="Calibri" w:ascii="Calibri"/>
                <w:sz w:val="16"/>
              </w:rPr>
              <w:t xml:space="preserve">A.***NEC:**Development*of*Strategic*Communications*Strategy Workshops*with*Commissioners*&amp;*Senior*staff*to*create*a*strategic* communications*framework*to*include:**media*relations*&amp;*training,* website,*social*media*use.</w:t>
            </w:r>
          </w:p>
          <w:p>
            <w:pPr>
              <w:spacing w:before="0" w:after="5" w:line="259" w:lineRule="auto"/>
              <w:ind w:left="79" w:right="0" w:firstLine="0"/>
              <w:jc w:val="left"/>
            </w:pPr>
            <w:r>
              <w:rPr>
                <w:rFonts w:cs="Calibri" w:hAnsi="Calibri" w:eastAsia="Calibri" w:ascii="Calibri"/>
                <w:sz w:val="16"/>
              </w:rPr>
              <w:t xml:space="preserve">B.**NEC:**Development*of*Stakeholder*Engagement*Strategy</w:t>
            </w:r>
          </w:p>
          <w:p>
            <w:pPr>
              <w:spacing w:before="0" w:after="16" w:line="259" w:lineRule="auto"/>
              <w:ind w:left="79" w:right="0" w:firstLine="0"/>
              <w:jc w:val="left"/>
            </w:pPr>
            <w:r>
              <w:rPr>
                <w:rFonts w:cs="Calibri" w:hAnsi="Calibri" w:eastAsia="Calibri" w:ascii="Calibri"/>
                <w:sz w:val="16"/>
              </w:rPr>
              <w:t xml:space="preserve">C.**NEC:*Development*of*Voter*Education*Strategy</w:t>
            </w:r>
          </w:p>
          <w:p>
            <w:pPr>
              <w:spacing w:before="0" w:after="16" w:line="259" w:lineRule="auto"/>
              <w:ind w:left="79" w:right="0" w:firstLine="0"/>
              <w:jc w:val="left"/>
            </w:pPr>
            <w:r>
              <w:rPr>
                <w:rFonts w:cs="Calibri" w:hAnsi="Calibri" w:eastAsia="Calibri" w:ascii="Calibri"/>
                <w:sz w:val="16"/>
              </w:rPr>
              <w:t xml:space="preserve">D.**NEC:**Development*of*Referendum*Logistics*Plan</w:t>
            </w:r>
          </w:p>
          <w:p>
            <w:pPr>
              <w:spacing w:before="0" w:after="492" w:line="259" w:lineRule="auto"/>
              <w:ind w:left="79" w:right="0" w:firstLine="0"/>
              <w:jc w:val="left"/>
            </w:pPr>
            <w:r>
              <w:rPr>
                <w:rFonts w:cs="Calibri" w:hAnsi="Calibri" w:eastAsia="Calibri" w:ascii="Calibri"/>
                <w:sz w:val="16"/>
              </w:rPr>
              <w:t xml:space="preserve">D.**NEC:**Development*of*Electoral*Calendar</w:t>
            </w:r>
          </w:p>
          <w:p>
            <w:pPr>
              <w:spacing w:before="0" w:after="319" w:line="252" w:lineRule="auto"/>
              <w:ind w:left="27" w:right="0" w:firstLine="51"/>
              <w:jc w:val="left"/>
            </w:pPr>
            <w:r>
              <w:rPr>
                <w:rFonts w:cs="Calibri" w:hAnsi="Calibri" w:eastAsia="Calibri" w:ascii="Calibri"/>
                <w:sz w:val="16"/>
              </w:rPr>
              <w:t xml:space="preserve">E.**ZEC:**Development*of*Strategic*Communications*Strategy *Workshops*with*Commissioners*&amp;*Senior*staff*to*create*a*strategic* communications*framework*to*include:**media*relations*&amp;*training,* website,*social*media*use.*</w:t>
            </w:r>
          </w:p>
          <w:p>
            <w:pPr>
              <w:spacing w:before="0" w:after="16" w:line="259" w:lineRule="auto"/>
              <w:ind w:left="79" w:right="0" w:firstLine="0"/>
              <w:jc w:val="left"/>
            </w:pPr>
            <w:r>
              <w:rPr>
                <w:rFonts w:cs="Calibri" w:hAnsi="Calibri" w:eastAsia="Calibri" w:ascii="Calibri"/>
                <w:sz w:val="16"/>
              </w:rPr>
              <w:t xml:space="preserve">F.**ZEC:**Development*of*Stakeholder*Engagement*Strategy</w:t>
            </w:r>
          </w:p>
          <w:p>
            <w:pPr>
              <w:spacing w:before="0" w:after="5" w:line="259" w:lineRule="auto"/>
              <w:ind w:left="79" w:right="0" w:firstLine="0"/>
              <w:jc w:val="left"/>
            </w:pPr>
            <w:r>
              <w:rPr>
                <w:rFonts w:cs="Calibri" w:hAnsi="Calibri" w:eastAsia="Calibri" w:ascii="Calibri"/>
                <w:sz w:val="16"/>
              </w:rPr>
              <w:t xml:space="preserve">G.**ZEC:**Development*of*Voter*Education*Strategy</w:t>
            </w:r>
          </w:p>
          <w:p>
            <w:pPr>
              <w:spacing w:before="0" w:after="16" w:line="259" w:lineRule="auto"/>
              <w:ind w:left="79" w:right="0" w:firstLine="0"/>
              <w:jc w:val="left"/>
            </w:pPr>
            <w:r>
              <w:rPr>
                <w:rFonts w:cs="Calibri" w:hAnsi="Calibri" w:eastAsia="Calibri" w:ascii="Calibri"/>
                <w:sz w:val="16"/>
              </w:rPr>
              <w:t xml:space="preserve">H.**ZEC:**Development*of*Referendum*Logistics*Plan</w:t>
            </w:r>
          </w:p>
          <w:p>
            <w:pPr>
              <w:spacing w:before="0" w:after="0" w:line="259" w:lineRule="auto"/>
              <w:ind w:left="79" w:right="0" w:firstLine="0"/>
              <w:jc w:val="left"/>
            </w:pPr>
            <w:r>
              <w:rPr>
                <w:rFonts w:cs="Calibri" w:hAnsi="Calibri" w:eastAsia="Calibri" w:ascii="Calibri"/>
                <w:sz w:val="16"/>
              </w:rPr>
              <w:t xml:space="preserve">I.**ZEC:**Development*of*Electoral*Calendar</w:t>
            </w:r>
          </w:p>
        </w:tc>
        <w:tc>
          <w:tcPr>
            <w:tcW w:w="2915" w:type="dxa"/>
            <w:vMerge w:val="restart"/>
            <w:tcBorders>
              <w:top w:val="nil"/>
              <w:left w:val="nil"/>
              <w:bottom w:val="nil"/>
              <w:right w:val="nil"/>
            </w:tcBorders>
            <w:vAlign w:val="top"/>
          </w:tcPr>
          <w:p>
            <w:pPr>
              <w:spacing w:before="0" w:after="16" w:line="259" w:lineRule="auto"/>
              <w:ind w:left="0" w:right="0" w:firstLine="0"/>
              <w:jc w:val="left"/>
            </w:pPr>
            <w:r>
              <w:rPr>
                <w:rFonts w:cs="Calibri" w:hAnsi="Calibri" w:eastAsia="Calibri" w:ascii="Calibri"/>
                <w:sz w:val="16"/>
              </w:rPr>
              <w:t xml:space="preserve">International*Consultant</w:t>
            </w:r>
          </w:p>
          <w:p>
            <w:pPr>
              <w:spacing w:before="0" w:after="1" w:line="259" w:lineRule="auto"/>
              <w:ind w:left="0" w:right="0" w:firstLine="0"/>
              <w:jc w:val="left"/>
            </w:pPr>
            <w:r>
              <w:rPr>
                <w:rFonts w:cs="Calibri" w:hAnsi="Calibri" w:eastAsia="Calibri" w:ascii="Calibri"/>
                <w:sz w:val="16"/>
              </w:rPr>
              <w:t xml:space="preserve">Consultant*DSA</w:t>
            </w:r>
          </w:p>
          <w:p>
            <w:pPr>
              <w:spacing w:before="0" w:after="496" w:line="259" w:lineRule="auto"/>
              <w:ind w:left="0" w:right="0" w:firstLine="0"/>
              <w:jc w:val="left"/>
            </w:pPr>
            <w:r>
              <w:rPr>
                <w:rFonts w:cs="Calibri" w:hAnsi="Calibri" w:eastAsia="Calibri" w:ascii="Calibri"/>
                <w:sz w:val="16"/>
              </w:rPr>
              <w:t xml:space="preserve">Consultant*Airfare</w:t>
            </w:r>
          </w:p>
          <w:p>
            <w:pPr>
              <w:spacing w:before="0" w:after="16" w:line="259" w:lineRule="auto"/>
              <w:ind w:left="0" w:right="0" w:firstLine="0"/>
              <w:jc w:val="left"/>
            </w:pPr>
            <w:r>
              <w:rPr>
                <w:rFonts w:cs="Calibri" w:hAnsi="Calibri" w:eastAsia="Calibri" w:ascii="Calibri"/>
                <w:sz w:val="16"/>
              </w:rPr>
              <w:t xml:space="preserve">*Workshop*costs*</w:t>
            </w:r>
          </w:p>
          <w:p>
            <w:pPr>
              <w:spacing w:before="0" w:after="16" w:line="259" w:lineRule="auto"/>
              <w:ind w:left="50" w:right="0" w:firstLine="0"/>
              <w:jc w:val="left"/>
            </w:pPr>
            <w:r>
              <w:rPr>
                <w:rFonts w:cs="Calibri" w:hAnsi="Calibri" w:eastAsia="Calibri" w:ascii="Calibri"/>
                <w:sz w:val="16"/>
              </w:rPr>
              <w:t xml:space="preserve">Workshop*costs</w:t>
            </w:r>
          </w:p>
          <w:p>
            <w:pPr>
              <w:spacing w:before="0" w:after="1" w:line="259" w:lineRule="auto"/>
              <w:ind w:left="0" w:right="0" w:firstLine="0"/>
              <w:jc w:val="left"/>
            </w:pPr>
            <w:r>
              <w:rPr>
                <w:rFonts w:cs="Calibri" w:hAnsi="Calibri" w:eastAsia="Calibri" w:ascii="Calibri"/>
                <w:sz w:val="16"/>
              </w:rPr>
              <w:t xml:space="preserve">*Workshop*costs*</w:t>
            </w:r>
          </w:p>
          <w:p>
            <w:pPr>
              <w:spacing w:before="0" w:after="496" w:line="259" w:lineRule="auto"/>
              <w:ind w:left="50" w:right="0" w:firstLine="0"/>
              <w:jc w:val="left"/>
            </w:pPr>
            <w:r>
              <w:rPr>
                <w:rFonts w:cs="Calibri" w:hAnsi="Calibri" w:eastAsia="Calibri" w:ascii="Calibri"/>
                <w:sz w:val="16"/>
              </w:rPr>
              <w:t xml:space="preserve">Workshop*costs</w:t>
            </w:r>
          </w:p>
          <w:p>
            <w:pPr>
              <w:spacing w:before="0" w:after="16" w:line="259" w:lineRule="auto"/>
              <w:ind w:left="50" w:right="0" w:firstLine="0"/>
              <w:jc w:val="left"/>
            </w:pPr>
            <w:r>
              <w:rPr>
                <w:rFonts w:cs="Calibri" w:hAnsi="Calibri" w:eastAsia="Calibri" w:ascii="Calibri"/>
                <w:sz w:val="16"/>
              </w:rPr>
              <w:t xml:space="preserve">International*Consultant</w:t>
            </w:r>
          </w:p>
          <w:p>
            <w:pPr>
              <w:spacing w:before="0" w:after="1" w:line="259" w:lineRule="auto"/>
              <w:ind w:left="50" w:right="0" w:firstLine="0"/>
              <w:jc w:val="left"/>
            </w:pPr>
            <w:r>
              <w:rPr>
                <w:rFonts w:cs="Calibri" w:hAnsi="Calibri" w:eastAsia="Calibri" w:ascii="Calibri"/>
                <w:sz w:val="16"/>
              </w:rPr>
              <w:t xml:space="preserve">Consultant*DSA</w:t>
            </w:r>
          </w:p>
          <w:p>
            <w:pPr>
              <w:spacing w:before="0" w:after="496" w:line="259" w:lineRule="auto"/>
              <w:ind w:left="50" w:right="0" w:firstLine="0"/>
              <w:jc w:val="left"/>
            </w:pPr>
            <w:r>
              <w:rPr>
                <w:rFonts w:cs="Calibri" w:hAnsi="Calibri" w:eastAsia="Calibri" w:ascii="Calibri"/>
                <w:sz w:val="16"/>
              </w:rPr>
              <w:t xml:space="preserve">Consultant*Airfare</w:t>
            </w:r>
          </w:p>
          <w:p>
            <w:pPr>
              <w:spacing w:before="0" w:after="16" w:line="259" w:lineRule="auto"/>
              <w:ind w:left="0" w:right="0" w:firstLine="0"/>
              <w:jc w:val="left"/>
            </w:pPr>
            <w:r>
              <w:rPr>
                <w:rFonts w:cs="Calibri" w:hAnsi="Calibri" w:eastAsia="Calibri" w:ascii="Calibri"/>
                <w:sz w:val="16"/>
              </w:rPr>
              <w:t xml:space="preserve">*Workshop*costs*</w:t>
            </w:r>
          </w:p>
          <w:p>
            <w:pPr>
              <w:spacing w:before="0" w:after="16" w:line="259" w:lineRule="auto"/>
              <w:ind w:left="50" w:right="0" w:firstLine="0"/>
              <w:jc w:val="left"/>
            </w:pPr>
            <w:r>
              <w:rPr>
                <w:rFonts w:cs="Calibri" w:hAnsi="Calibri" w:eastAsia="Calibri" w:ascii="Calibri"/>
                <w:sz w:val="16"/>
              </w:rPr>
              <w:t xml:space="preserve">Workshop*costs</w:t>
            </w:r>
          </w:p>
          <w:p>
            <w:pPr>
              <w:spacing w:before="0" w:after="1" w:line="259" w:lineRule="auto"/>
              <w:ind w:left="0" w:right="0" w:firstLine="0"/>
              <w:jc w:val="left"/>
            </w:pPr>
            <w:r>
              <w:rPr>
                <w:rFonts w:cs="Calibri" w:hAnsi="Calibri" w:eastAsia="Calibri" w:ascii="Calibri"/>
                <w:sz w:val="16"/>
              </w:rPr>
              <w:t xml:space="preserve">*Workshop*costs*</w:t>
            </w:r>
          </w:p>
          <w:p>
            <w:pPr>
              <w:spacing w:before="0" w:after="0" w:line="259" w:lineRule="auto"/>
              <w:ind w:left="50" w:right="0" w:firstLine="0"/>
              <w:jc w:val="left"/>
            </w:pPr>
            <w:r>
              <w:rPr>
                <w:rFonts w:cs="Calibri" w:hAnsi="Calibri" w:eastAsia="Calibri" w:ascii="Calibri"/>
                <w:sz w:val="16"/>
              </w:rPr>
              <w:t xml:space="preserve">Workshop*costs</w:t>
            </w:r>
          </w:p>
        </w:tc>
        <w:tc>
          <w:tcPr>
            <w:tcW w:w="1135" w:type="dxa"/>
            <w:tcBorders>
              <w:top w:val="nil"/>
              <w:left w:val="nil"/>
              <w:bottom w:val="double" w:sz="6" w:color="000000"/>
              <w:right w:val="nil"/>
            </w:tcBorders>
            <w:vAlign w:val="top"/>
          </w:tcPr>
          <w:p>
            <w:pPr>
              <w:spacing w:before="0" w:after="0" w:line="278" w:lineRule="auto"/>
              <w:ind w:left="21" w:right="456" w:firstLine="0"/>
              <w:jc w:val="left"/>
            </w:pPr>
            <w:r>
              <w:rPr>
                <w:rFonts w:cs="Calibri" w:hAnsi="Calibri" w:eastAsia="Calibri" w:ascii="Calibri"/>
                <w:sz w:val="16"/>
              </w:rPr>
              <w:t xml:space="preserve">Days Days</w:t>
            </w:r>
          </w:p>
          <w:p>
            <w:pPr>
              <w:spacing w:before="0" w:after="0" w:line="259" w:lineRule="auto"/>
              <w:ind w:left="64" w:right="0" w:firstLine="0"/>
              <w:jc w:val="left"/>
            </w:pPr>
            <w:r>
              <w:rPr>
                <w:rFonts w:cs="Calibri" w:hAnsi="Calibri" w:eastAsia="Calibri" w:ascii="Calibri"/>
                <w:sz w:val="16"/>
              </w:rPr>
              <w:t xml:space="preserve">R/T</w:t>
            </w:r>
          </w:p>
        </w:tc>
        <w:tc>
          <w:tcPr>
            <w:tcW w:w="1239" w:type="dxa"/>
            <w:tcBorders>
              <w:top w:val="nil"/>
              <w:left w:val="nil"/>
              <w:bottom w:val="double" w:sz="6" w:color="000000"/>
              <w:right w:val="nil"/>
            </w:tcBorders>
            <w:vAlign w:val="top"/>
          </w:tcPr>
          <w:p>
            <w:pPr>
              <w:spacing w:before="0" w:after="16" w:line="259" w:lineRule="auto"/>
              <w:ind w:left="0" w:right="0" w:firstLine="0"/>
              <w:jc w:val="left"/>
            </w:pPr>
            <w:r>
              <w:rPr>
                <w:rFonts w:cs="Calibri" w:hAnsi="Calibri" w:eastAsia="Calibri" w:ascii="Calibri"/>
                <w:sz w:val="16"/>
              </w:rPr>
              <w:t xml:space="preserve">15</w:t>
            </w:r>
          </w:p>
          <w:p>
            <w:pPr>
              <w:spacing w:before="0" w:after="1" w:line="259" w:lineRule="auto"/>
              <w:ind w:left="0" w:right="0" w:firstLine="0"/>
              <w:jc w:val="left"/>
            </w:pPr>
            <w:r>
              <w:rPr>
                <w:rFonts w:cs="Calibri" w:hAnsi="Calibri" w:eastAsia="Calibri" w:ascii="Calibri"/>
                <w:sz w:val="16"/>
              </w:rPr>
              <w:t xml:space="preserve">21</w:t>
            </w:r>
          </w:p>
          <w:p>
            <w:pPr>
              <w:spacing w:before="0" w:after="0" w:line="259" w:lineRule="auto"/>
              <w:ind w:left="43" w:right="0" w:firstLine="0"/>
              <w:jc w:val="left"/>
            </w:pPr>
            <w:r>
              <w:rPr>
                <w:rFonts w:cs="Calibri" w:hAnsi="Calibri" w:eastAsia="Calibri" w:ascii="Calibri"/>
                <w:sz w:val="16"/>
              </w:rPr>
              <w:t xml:space="preserve">1</w:t>
            </w:r>
          </w:p>
        </w:tc>
        <w:tc>
          <w:tcPr>
            <w:tcW w:w="1497" w:type="dxa"/>
            <w:gridSpan w:val="2"/>
            <w:tcBorders>
              <w:top w:val="nil"/>
              <w:left w:val="nil"/>
              <w:bottom w:val="double" w:sz="6" w:color="000000"/>
              <w:right w:val="nil"/>
            </w:tcBorders>
            <w:vAlign w:val="top"/>
          </w:tcPr>
          <w:p>
            <w:pPr>
              <w:spacing w:before="0" w:after="16" w:line="259" w:lineRule="auto"/>
              <w:ind w:left="229" w:right="0" w:firstLine="0"/>
              <w:jc w:val="left"/>
            </w:pPr>
            <w:r>
              <w:rPr>
                <w:rFonts w:cs="Calibri" w:hAnsi="Calibri" w:eastAsia="Calibri" w:ascii="Calibri"/>
                <w:sz w:val="16"/>
              </w:rPr>
              <w:t xml:space="preserve">$750.00</w:t>
            </w:r>
          </w:p>
          <w:p>
            <w:pPr>
              <w:spacing w:before="0" w:after="1" w:line="259" w:lineRule="auto"/>
              <w:ind w:left="240" w:right="0" w:firstLine="0"/>
              <w:jc w:val="left"/>
            </w:pPr>
            <w:r>
              <w:rPr>
                <w:rFonts w:cs="Calibri" w:hAnsi="Calibri" w:eastAsia="Calibri" w:ascii="Calibri"/>
                <w:sz w:val="16"/>
              </w:rPr>
              <w:t xml:space="preserve">$216.00</w:t>
            </w:r>
          </w:p>
          <w:p>
            <w:pPr>
              <w:spacing w:before="0" w:after="0" w:line="259" w:lineRule="auto"/>
              <w:ind w:left="104" w:right="0" w:firstLine="0"/>
              <w:jc w:val="left"/>
            </w:pPr>
            <w:r>
              <w:rPr>
                <w:rFonts w:cs="Calibri" w:hAnsi="Calibri" w:eastAsia="Calibri" w:ascii="Calibri"/>
                <w:sz w:val="16"/>
              </w:rPr>
              <w:t xml:space="preserve">$2,000.00</w:t>
            </w:r>
          </w:p>
        </w:tc>
        <w:tc>
          <w:tcPr>
            <w:tcW w:w="784" w:type="dxa"/>
            <w:tcBorders>
              <w:top w:val="nil"/>
              <w:left w:val="nil"/>
              <w:bottom w:val="double" w:sz="6" w:color="000000"/>
              <w:right w:val="nil"/>
            </w:tcBorders>
            <w:vAlign w:val="top"/>
          </w:tcPr>
          <w:p>
            <w:pPr>
              <w:spacing w:before="0" w:after="0" w:line="278" w:lineRule="auto"/>
              <w:ind w:left="0" w:right="11" w:firstLine="0"/>
              <w:jc w:val="right"/>
            </w:pPr>
            <w:r>
              <w:rPr>
                <w:rFonts w:cs="Calibri" w:hAnsi="Calibri" w:eastAsia="Calibri" w:ascii="Calibri"/>
                <w:sz w:val="16"/>
              </w:rPr>
              <w:t xml:space="preserve">$11,250.00 $4,536.00</w:t>
            </w:r>
          </w:p>
          <w:p>
            <w:pPr>
              <w:spacing w:before="0" w:after="0" w:line="259" w:lineRule="auto"/>
              <w:ind w:left="86" w:right="0" w:firstLine="0"/>
              <w:jc w:val="left"/>
            </w:pPr>
            <w:r>
              <w:rPr>
                <w:rFonts w:cs="Calibri" w:hAnsi="Calibri" w:eastAsia="Calibri" w:ascii="Calibri"/>
                <w:sz w:val="16"/>
              </w:rPr>
              <w:t xml:space="preserve">$2,000.00</w:t>
            </w:r>
          </w:p>
        </w:tc>
      </w:tr>
      <w:tr>
        <w:trPr>
          <w:trHeight w:val="1397"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135" w:type="dxa"/>
            <w:tcBorders>
              <w:top w:val="double" w:sz="6" w:color="000000"/>
              <w:left w:val="nil"/>
              <w:bottom w:val="double" w:sz="6" w:color="000000"/>
              <w:right w:val="nil"/>
            </w:tcBorders>
            <w:vAlign w:val="bottom"/>
          </w:tcPr>
          <w:p>
            <w:pPr>
              <w:spacing w:before="0" w:after="0" w:line="278" w:lineRule="auto"/>
              <w:ind w:left="14" w:right="360" w:firstLine="0"/>
              <w:jc w:val="left"/>
            </w:pPr>
            <w:r>
              <w:rPr>
                <w:rFonts w:cs="Calibri" w:hAnsi="Calibri" w:eastAsia="Calibri" w:ascii="Calibri"/>
                <w:sz w:val="16"/>
              </w:rPr>
              <w:t xml:space="preserve">*Pool* *Pool*</w:t>
            </w:r>
          </w:p>
          <w:p>
            <w:pPr>
              <w:spacing w:before="0" w:after="0" w:line="259" w:lineRule="auto"/>
              <w:ind w:left="14" w:right="0" w:firstLine="0"/>
              <w:jc w:val="left"/>
            </w:pPr>
            <w:r>
              <w:rPr>
                <w:rFonts w:cs="Calibri" w:hAnsi="Calibri" w:eastAsia="Calibri" w:ascii="Calibri"/>
                <w:sz w:val="16"/>
              </w:rPr>
              <w:t xml:space="preserve">*Pool*</w:t>
            </w:r>
          </w:p>
          <w:p>
            <w:pPr>
              <w:spacing w:before="0" w:after="0" w:line="259" w:lineRule="auto"/>
              <w:ind w:left="14" w:right="0" w:firstLine="0"/>
              <w:jc w:val="left"/>
            </w:pPr>
            <w:r>
              <w:rPr>
                <w:rFonts w:cs="Calibri" w:hAnsi="Calibri" w:eastAsia="Calibri" w:ascii="Calibri"/>
                <w:sz w:val="16"/>
              </w:rPr>
              <w:t xml:space="preserve">*Pool*</w:t>
            </w:r>
          </w:p>
        </w:tc>
        <w:tc>
          <w:tcPr>
            <w:tcW w:w="1239" w:type="dxa"/>
            <w:tcBorders>
              <w:top w:val="double" w:sz="6" w:color="000000"/>
              <w:left w:val="nil"/>
              <w:bottom w:val="double" w:sz="6" w:color="000000"/>
              <w:right w:val="nil"/>
            </w:tcBorders>
            <w:vAlign w:val="bottom"/>
          </w:tcPr>
          <w:p>
            <w:pPr>
              <w:spacing w:before="0" w:after="0" w:line="278" w:lineRule="auto"/>
              <w:ind w:left="39" w:right="1014" w:firstLine="0"/>
              <w:jc w:val="left"/>
            </w:pPr>
            <w:r>
              <w:rPr>
                <w:rFonts w:cs="Calibri" w:hAnsi="Calibri" w:eastAsia="Calibri" w:ascii="Calibri"/>
                <w:sz w:val="16"/>
              </w:rPr>
              <w:t xml:space="preserve">1 1</w:t>
            </w:r>
          </w:p>
          <w:p>
            <w:pPr>
              <w:spacing w:before="0" w:after="0" w:line="259" w:lineRule="auto"/>
              <w:ind w:left="39" w:right="0" w:firstLine="0"/>
              <w:jc w:val="left"/>
            </w:pPr>
            <w:r>
              <w:rPr>
                <w:rFonts w:cs="Calibri" w:hAnsi="Calibri" w:eastAsia="Calibri" w:ascii="Calibri"/>
                <w:sz w:val="16"/>
              </w:rPr>
              <w:t xml:space="preserve">1</w:t>
            </w:r>
          </w:p>
          <w:p>
            <w:pPr>
              <w:spacing w:before="0" w:after="0" w:line="259" w:lineRule="auto"/>
              <w:ind w:left="39" w:right="0" w:firstLine="0"/>
              <w:jc w:val="left"/>
            </w:pPr>
            <w:r>
              <w:rPr>
                <w:rFonts w:cs="Calibri" w:hAnsi="Calibri" w:eastAsia="Calibri" w:ascii="Calibri"/>
                <w:sz w:val="16"/>
              </w:rPr>
              <w:t xml:space="preserve">1</w:t>
            </w:r>
          </w:p>
        </w:tc>
        <w:tc>
          <w:tcPr>
            <w:tcW w:w="1497" w:type="dxa"/>
            <w:gridSpan w:val="2"/>
            <w:tcBorders>
              <w:top w:val="double" w:sz="6" w:color="000000"/>
              <w:left w:val="nil"/>
              <w:bottom w:val="double" w:sz="6" w:color="000000"/>
              <w:right w:val="nil"/>
            </w:tcBorders>
            <w:vAlign w:val="bottom"/>
          </w:tcPr>
          <w:p>
            <w:pPr>
              <w:spacing w:before="0" w:after="0" w:line="278" w:lineRule="auto"/>
              <w:ind w:left="115" w:right="29" w:firstLine="0"/>
              <w:jc w:val="left"/>
            </w:pPr>
            <w:r>
              <w:rPr>
                <w:rFonts w:cs="Calibri" w:hAnsi="Calibri" w:eastAsia="Calibri" w:ascii="Calibri"/>
                <w:sz w:val="16"/>
              </w:rPr>
              <w:t xml:space="preserve">$5,000.00 $5,000.00</w:t>
            </w:r>
          </w:p>
          <w:p>
            <w:pPr>
              <w:spacing w:before="0" w:after="0" w:line="259" w:lineRule="auto"/>
              <w:ind w:left="115" w:right="0" w:firstLine="0"/>
              <w:jc w:val="left"/>
            </w:pPr>
            <w:r>
              <w:rPr>
                <w:rFonts w:cs="Calibri" w:hAnsi="Calibri" w:eastAsia="Calibri" w:ascii="Calibri"/>
                <w:sz w:val="16"/>
              </w:rPr>
              <w:t xml:space="preserve">$5,000.00</w:t>
            </w:r>
          </w:p>
          <w:p>
            <w:pPr>
              <w:spacing w:before="0" w:after="0" w:line="259" w:lineRule="auto"/>
              <w:ind w:left="115" w:right="0" w:firstLine="0"/>
              <w:jc w:val="left"/>
            </w:pPr>
            <w:r>
              <w:rPr>
                <w:rFonts w:cs="Calibri" w:hAnsi="Calibri" w:eastAsia="Calibri" w:ascii="Calibri"/>
                <w:sz w:val="16"/>
              </w:rPr>
              <w:t xml:space="preserve">$5,000.00</w:t>
            </w:r>
          </w:p>
        </w:tc>
        <w:tc>
          <w:tcPr>
            <w:tcW w:w="784" w:type="dxa"/>
            <w:tcBorders>
              <w:top w:val="double" w:sz="6" w:color="000000"/>
              <w:left w:val="nil"/>
              <w:bottom w:val="double" w:sz="6" w:color="000000"/>
              <w:right w:val="nil"/>
            </w:tcBorders>
            <w:vAlign w:val="top"/>
          </w:tcPr>
          <w:p>
            <w:pPr>
              <w:spacing w:before="0" w:after="248" w:line="259" w:lineRule="auto"/>
              <w:ind w:left="4" w:right="0" w:firstLine="0"/>
            </w:pPr>
            <w:r>
              <w:rPr>
                <w:rFonts w:cs="Calibri" w:hAnsi="Calibri" w:eastAsia="Calibri" w:ascii="Calibri"/>
                <w:sz w:val="16"/>
              </w:rPr>
              <w:t xml:space="preserve">$17,786.00</w:t>
            </w:r>
          </w:p>
          <w:p>
            <w:pPr>
              <w:spacing w:before="0" w:after="0" w:line="278" w:lineRule="auto"/>
              <w:ind w:left="0" w:right="0" w:firstLine="0"/>
              <w:jc w:val="center"/>
            </w:pPr>
            <w:r>
              <w:rPr>
                <w:rFonts w:cs="Calibri" w:hAnsi="Calibri" w:eastAsia="Calibri" w:ascii="Calibri"/>
                <w:sz w:val="16"/>
              </w:rPr>
              <w:t xml:space="preserve">$5,000.00 $5,000.00</w:t>
            </w:r>
          </w:p>
          <w:p>
            <w:pPr>
              <w:spacing w:before="0" w:after="1" w:line="259" w:lineRule="auto"/>
              <w:ind w:left="86" w:right="0" w:firstLine="0"/>
              <w:jc w:val="left"/>
            </w:pPr>
            <w:r>
              <w:rPr>
                <w:rFonts w:cs="Calibri" w:hAnsi="Calibri" w:eastAsia="Calibri" w:ascii="Calibri"/>
                <w:sz w:val="16"/>
              </w:rPr>
              <w:t xml:space="preserve">$5,000.00</w:t>
            </w:r>
          </w:p>
          <w:p>
            <w:pPr>
              <w:spacing w:before="0" w:after="0" w:line="259" w:lineRule="auto"/>
              <w:ind w:left="86" w:right="0" w:firstLine="0"/>
              <w:jc w:val="left"/>
            </w:pPr>
            <w:r>
              <w:rPr>
                <w:rFonts w:cs="Calibri" w:hAnsi="Calibri" w:eastAsia="Calibri" w:ascii="Calibri"/>
                <w:sz w:val="16"/>
              </w:rPr>
              <w:t xml:space="preserve">$5,000.00</w:t>
            </w:r>
          </w:p>
        </w:tc>
      </w:tr>
      <w:tr>
        <w:trPr>
          <w:trHeight w:val="1164"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135" w:type="dxa"/>
            <w:tcBorders>
              <w:top w:val="double" w:sz="6" w:color="000000"/>
              <w:left w:val="nil"/>
              <w:bottom w:val="double" w:sz="6" w:color="000000"/>
              <w:right w:val="nil"/>
            </w:tcBorders>
            <w:vAlign w:val="bottom"/>
          </w:tcPr>
          <w:p>
            <w:pPr>
              <w:spacing w:before="0" w:after="16" w:line="259" w:lineRule="auto"/>
              <w:ind w:left="21" w:right="0" w:firstLine="0"/>
              <w:jc w:val="left"/>
            </w:pPr>
            <w:r>
              <w:rPr>
                <w:rFonts w:cs="Calibri" w:hAnsi="Calibri" w:eastAsia="Calibri" w:ascii="Calibri"/>
                <w:sz w:val="16"/>
              </w:rPr>
              <w:t xml:space="preserve">Days</w:t>
            </w:r>
          </w:p>
          <w:p>
            <w:pPr>
              <w:spacing w:before="0" w:after="1" w:line="259" w:lineRule="auto"/>
              <w:ind w:left="0" w:right="0" w:firstLine="0"/>
              <w:jc w:val="left"/>
            </w:pPr>
            <w:r>
              <w:rPr>
                <w:rFonts w:cs="Calibri" w:hAnsi="Calibri" w:eastAsia="Calibri" w:ascii="Calibri"/>
                <w:sz w:val="16"/>
              </w:rPr>
              <w:t xml:space="preserve">*Days*</w:t>
            </w:r>
          </w:p>
          <w:p>
            <w:pPr>
              <w:spacing w:before="0" w:after="0" w:line="259" w:lineRule="auto"/>
              <w:ind w:left="64" w:right="0" w:firstLine="0"/>
              <w:jc w:val="left"/>
            </w:pPr>
            <w:r>
              <w:rPr>
                <w:rFonts w:cs="Calibri" w:hAnsi="Calibri" w:eastAsia="Calibri" w:ascii="Calibri"/>
                <w:sz w:val="16"/>
              </w:rPr>
              <w:t xml:space="preserve">R/T</w:t>
            </w:r>
          </w:p>
        </w:tc>
        <w:tc>
          <w:tcPr>
            <w:tcW w:w="1239" w:type="dxa"/>
            <w:tcBorders>
              <w:top w:val="double" w:sz="6" w:color="000000"/>
              <w:left w:val="nil"/>
              <w:bottom w:val="double" w:sz="6" w:color="000000"/>
              <w:right w:val="nil"/>
            </w:tcBorders>
            <w:vAlign w:val="bottom"/>
          </w:tcPr>
          <w:p>
            <w:pPr>
              <w:spacing w:before="0" w:after="16" w:line="259" w:lineRule="auto"/>
              <w:ind w:left="0" w:right="0" w:firstLine="0"/>
              <w:jc w:val="left"/>
            </w:pPr>
            <w:r>
              <w:rPr>
                <w:rFonts w:cs="Calibri" w:hAnsi="Calibri" w:eastAsia="Calibri" w:ascii="Calibri"/>
                <w:sz w:val="16"/>
              </w:rPr>
              <w:t xml:space="preserve">15</w:t>
            </w:r>
          </w:p>
          <w:p>
            <w:pPr>
              <w:spacing w:before="0" w:after="1" w:line="259" w:lineRule="auto"/>
              <w:ind w:left="0" w:right="0" w:firstLine="0"/>
              <w:jc w:val="left"/>
            </w:pPr>
            <w:r>
              <w:rPr>
                <w:rFonts w:cs="Calibri" w:hAnsi="Calibri" w:eastAsia="Calibri" w:ascii="Calibri"/>
                <w:sz w:val="16"/>
              </w:rPr>
              <w:t xml:space="preserve">21</w:t>
            </w:r>
          </w:p>
          <w:p>
            <w:pPr>
              <w:spacing w:before="0" w:after="0" w:line="259" w:lineRule="auto"/>
              <w:ind w:left="43" w:right="0" w:firstLine="0"/>
              <w:jc w:val="left"/>
            </w:pPr>
            <w:r>
              <w:rPr>
                <w:rFonts w:cs="Calibri" w:hAnsi="Calibri" w:eastAsia="Calibri" w:ascii="Calibri"/>
                <w:sz w:val="16"/>
              </w:rPr>
              <w:t xml:space="preserve">1</w:t>
            </w:r>
          </w:p>
        </w:tc>
        <w:tc>
          <w:tcPr>
            <w:tcW w:w="1497" w:type="dxa"/>
            <w:gridSpan w:val="2"/>
            <w:tcBorders>
              <w:top w:val="double" w:sz="6" w:color="000000"/>
              <w:left w:val="nil"/>
              <w:bottom w:val="double" w:sz="6" w:color="000000"/>
              <w:right w:val="nil"/>
            </w:tcBorders>
            <w:vAlign w:val="bottom"/>
          </w:tcPr>
          <w:p>
            <w:pPr>
              <w:spacing w:before="0" w:after="16" w:line="259" w:lineRule="auto"/>
              <w:ind w:left="229" w:right="0" w:firstLine="0"/>
              <w:jc w:val="left"/>
            </w:pPr>
            <w:r>
              <w:rPr>
                <w:rFonts w:cs="Calibri" w:hAnsi="Calibri" w:eastAsia="Calibri" w:ascii="Calibri"/>
                <w:sz w:val="16"/>
              </w:rPr>
              <w:t xml:space="preserve">$750.00</w:t>
            </w:r>
          </w:p>
          <w:p>
            <w:pPr>
              <w:spacing w:before="0" w:after="1" w:line="259" w:lineRule="auto"/>
              <w:ind w:left="240" w:right="0" w:firstLine="0"/>
              <w:jc w:val="left"/>
            </w:pPr>
            <w:r>
              <w:rPr>
                <w:rFonts w:cs="Calibri" w:hAnsi="Calibri" w:eastAsia="Calibri" w:ascii="Calibri"/>
                <w:sz w:val="16"/>
              </w:rPr>
              <w:t xml:space="preserve">$216.00</w:t>
            </w:r>
          </w:p>
          <w:p>
            <w:pPr>
              <w:spacing w:before="0" w:after="0" w:line="259" w:lineRule="auto"/>
              <w:ind w:left="104" w:right="0" w:firstLine="0"/>
              <w:jc w:val="left"/>
            </w:pPr>
            <w:r>
              <w:rPr>
                <w:rFonts w:cs="Calibri" w:hAnsi="Calibri" w:eastAsia="Calibri" w:ascii="Calibri"/>
                <w:sz w:val="16"/>
              </w:rPr>
              <w:t xml:space="preserve">$2,500.00</w:t>
            </w:r>
          </w:p>
        </w:tc>
        <w:tc>
          <w:tcPr>
            <w:tcW w:w="784" w:type="dxa"/>
            <w:tcBorders>
              <w:top w:val="double" w:sz="6" w:color="000000"/>
              <w:left w:val="nil"/>
              <w:bottom w:val="double" w:sz="6" w:color="000000"/>
              <w:right w:val="nil"/>
            </w:tcBorders>
            <w:vAlign w:val="top"/>
          </w:tcPr>
          <w:p>
            <w:pPr>
              <w:spacing w:before="0" w:after="248" w:line="259" w:lineRule="auto"/>
              <w:ind w:left="14" w:right="0" w:firstLine="0"/>
            </w:pPr>
            <w:r>
              <w:rPr>
                <w:rFonts w:cs="Calibri" w:hAnsi="Calibri" w:eastAsia="Calibri" w:ascii="Calibri"/>
                <w:sz w:val="16"/>
              </w:rPr>
              <w:t xml:space="preserve">$20,000.00</w:t>
            </w:r>
          </w:p>
          <w:p>
            <w:pPr>
              <w:spacing w:before="0" w:after="0" w:line="278" w:lineRule="auto"/>
              <w:ind w:left="0" w:right="11" w:firstLine="0"/>
              <w:jc w:val="right"/>
            </w:pPr>
            <w:r>
              <w:rPr>
                <w:rFonts w:cs="Calibri" w:hAnsi="Calibri" w:eastAsia="Calibri" w:ascii="Calibri"/>
                <w:sz w:val="16"/>
              </w:rPr>
              <w:t xml:space="preserve">$11,250.00 $4,536.00</w:t>
            </w:r>
          </w:p>
          <w:p>
            <w:pPr>
              <w:spacing w:before="0" w:after="0" w:line="259" w:lineRule="auto"/>
              <w:ind w:left="86" w:right="0" w:firstLine="0"/>
              <w:jc w:val="left"/>
            </w:pPr>
            <w:r>
              <w:rPr>
                <w:rFonts w:cs="Calibri" w:hAnsi="Calibri" w:eastAsia="Calibri" w:ascii="Calibri"/>
                <w:sz w:val="16"/>
              </w:rPr>
              <w:t xml:space="preserve">$2,500.00</w:t>
            </w:r>
          </w:p>
        </w:tc>
      </w:tr>
      <w:tr>
        <w:trPr>
          <w:trHeight w:val="1397"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135" w:type="dxa"/>
            <w:tcBorders>
              <w:top w:val="double" w:sz="6" w:color="000000"/>
              <w:left w:val="nil"/>
              <w:bottom w:val="double" w:sz="6" w:color="000000"/>
              <w:right w:val="nil"/>
            </w:tcBorders>
            <w:vAlign w:val="bottom"/>
          </w:tcPr>
          <w:p>
            <w:pPr>
              <w:spacing w:before="0" w:after="0" w:line="278" w:lineRule="auto"/>
              <w:ind w:left="14" w:right="360" w:firstLine="0"/>
              <w:jc w:val="left"/>
            </w:pPr>
            <w:r>
              <w:rPr>
                <w:rFonts w:cs="Calibri" w:hAnsi="Calibri" w:eastAsia="Calibri" w:ascii="Calibri"/>
                <w:sz w:val="16"/>
              </w:rPr>
              <w:t xml:space="preserve">*Pool* *Pool*</w:t>
            </w:r>
          </w:p>
          <w:p>
            <w:pPr>
              <w:spacing w:before="0" w:after="0" w:line="259" w:lineRule="auto"/>
              <w:ind w:left="14" w:right="0" w:firstLine="0"/>
              <w:jc w:val="left"/>
            </w:pPr>
            <w:r>
              <w:rPr>
                <w:rFonts w:cs="Calibri" w:hAnsi="Calibri" w:eastAsia="Calibri" w:ascii="Calibri"/>
                <w:sz w:val="16"/>
              </w:rPr>
              <w:t xml:space="preserve">*Pool*</w:t>
            </w:r>
          </w:p>
          <w:p>
            <w:pPr>
              <w:spacing w:before="0" w:after="0" w:line="259" w:lineRule="auto"/>
              <w:ind w:left="14" w:right="0" w:firstLine="0"/>
              <w:jc w:val="left"/>
            </w:pPr>
            <w:r>
              <w:rPr>
                <w:rFonts w:cs="Calibri" w:hAnsi="Calibri" w:eastAsia="Calibri" w:ascii="Calibri"/>
                <w:sz w:val="16"/>
              </w:rPr>
              <w:t xml:space="preserve">*Pool*</w:t>
            </w:r>
          </w:p>
        </w:tc>
        <w:tc>
          <w:tcPr>
            <w:tcW w:w="1239" w:type="dxa"/>
            <w:tcBorders>
              <w:top w:val="double" w:sz="6" w:color="000000"/>
              <w:left w:val="nil"/>
              <w:bottom w:val="double" w:sz="6" w:color="000000"/>
              <w:right w:val="nil"/>
            </w:tcBorders>
            <w:vAlign w:val="bottom"/>
          </w:tcPr>
          <w:p>
            <w:pPr>
              <w:spacing w:before="0" w:after="0" w:line="278" w:lineRule="auto"/>
              <w:ind w:left="39" w:right="1014" w:firstLine="0"/>
              <w:jc w:val="left"/>
            </w:pPr>
            <w:r>
              <w:rPr>
                <w:rFonts w:cs="Calibri" w:hAnsi="Calibri" w:eastAsia="Calibri" w:ascii="Calibri"/>
                <w:sz w:val="16"/>
              </w:rPr>
              <w:t xml:space="preserve">1 1</w:t>
            </w:r>
          </w:p>
          <w:p>
            <w:pPr>
              <w:spacing w:before="0" w:after="0" w:line="259" w:lineRule="auto"/>
              <w:ind w:left="39" w:right="0" w:firstLine="0"/>
              <w:jc w:val="left"/>
            </w:pPr>
            <w:r>
              <w:rPr>
                <w:rFonts w:cs="Calibri" w:hAnsi="Calibri" w:eastAsia="Calibri" w:ascii="Calibri"/>
                <w:sz w:val="16"/>
              </w:rPr>
              <w:t xml:space="preserve">1</w:t>
            </w:r>
          </w:p>
          <w:p>
            <w:pPr>
              <w:spacing w:before="0" w:after="0" w:line="259" w:lineRule="auto"/>
              <w:ind w:left="39" w:right="0" w:firstLine="0"/>
              <w:jc w:val="left"/>
            </w:pPr>
            <w:r>
              <w:rPr>
                <w:rFonts w:cs="Calibri" w:hAnsi="Calibri" w:eastAsia="Calibri" w:ascii="Calibri"/>
                <w:sz w:val="16"/>
              </w:rPr>
              <w:t xml:space="preserve">1</w:t>
            </w:r>
          </w:p>
        </w:tc>
        <w:tc>
          <w:tcPr>
            <w:tcW w:w="1497" w:type="dxa"/>
            <w:gridSpan w:val="2"/>
            <w:tcBorders>
              <w:top w:val="double" w:sz="6" w:color="000000"/>
              <w:left w:val="nil"/>
              <w:bottom w:val="double" w:sz="6" w:color="000000"/>
              <w:right w:val="nil"/>
            </w:tcBorders>
            <w:vAlign w:val="bottom"/>
          </w:tcPr>
          <w:p>
            <w:pPr>
              <w:spacing w:before="0" w:after="0" w:line="278" w:lineRule="auto"/>
              <w:ind w:left="115" w:right="29" w:firstLine="0"/>
              <w:jc w:val="left"/>
            </w:pPr>
            <w:r>
              <w:rPr>
                <w:rFonts w:cs="Calibri" w:hAnsi="Calibri" w:eastAsia="Calibri" w:ascii="Calibri"/>
                <w:sz w:val="16"/>
              </w:rPr>
              <w:t xml:space="preserve">$3,000.00 $3,000.00</w:t>
            </w:r>
          </w:p>
          <w:p>
            <w:pPr>
              <w:spacing w:before="0" w:after="0" w:line="259" w:lineRule="auto"/>
              <w:ind w:left="115" w:right="0" w:firstLine="0"/>
              <w:jc w:val="left"/>
            </w:pPr>
            <w:r>
              <w:rPr>
                <w:rFonts w:cs="Calibri" w:hAnsi="Calibri" w:eastAsia="Calibri" w:ascii="Calibri"/>
                <w:sz w:val="16"/>
              </w:rPr>
              <w:t xml:space="preserve">$3,000.00</w:t>
            </w:r>
          </w:p>
          <w:p>
            <w:pPr>
              <w:spacing w:before="0" w:after="0" w:line="259" w:lineRule="auto"/>
              <w:ind w:left="115" w:right="0" w:firstLine="0"/>
              <w:jc w:val="left"/>
            </w:pPr>
            <w:r>
              <w:rPr>
                <w:rFonts w:cs="Calibri" w:hAnsi="Calibri" w:eastAsia="Calibri" w:ascii="Calibri"/>
                <w:sz w:val="16"/>
              </w:rPr>
              <w:t xml:space="preserve">$3,000.00</w:t>
            </w:r>
          </w:p>
        </w:tc>
        <w:tc>
          <w:tcPr>
            <w:tcW w:w="784" w:type="dxa"/>
            <w:tcBorders>
              <w:top w:val="double" w:sz="6" w:color="000000"/>
              <w:left w:val="nil"/>
              <w:bottom w:val="double" w:sz="6" w:color="000000"/>
              <w:right w:val="nil"/>
            </w:tcBorders>
            <w:vAlign w:val="top"/>
          </w:tcPr>
          <w:p>
            <w:pPr>
              <w:spacing w:before="0" w:after="248" w:line="259" w:lineRule="auto"/>
              <w:ind w:left="14" w:right="0" w:firstLine="0"/>
            </w:pPr>
            <w:r>
              <w:rPr>
                <w:rFonts w:cs="Calibri" w:hAnsi="Calibri" w:eastAsia="Calibri" w:ascii="Calibri"/>
                <w:sz w:val="16"/>
              </w:rPr>
              <w:t xml:space="preserve">$18,286.00</w:t>
            </w:r>
          </w:p>
          <w:p>
            <w:pPr>
              <w:spacing w:before="0" w:after="0" w:line="278" w:lineRule="auto"/>
              <w:ind w:left="0" w:right="0" w:firstLine="0"/>
              <w:jc w:val="center"/>
            </w:pPr>
            <w:r>
              <w:rPr>
                <w:rFonts w:cs="Calibri" w:hAnsi="Calibri" w:eastAsia="Calibri" w:ascii="Calibri"/>
                <w:sz w:val="16"/>
              </w:rPr>
              <w:t xml:space="preserve">$3,000.00 $3,000.00</w:t>
            </w:r>
          </w:p>
          <w:p>
            <w:pPr>
              <w:spacing w:before="0" w:after="1" w:line="259" w:lineRule="auto"/>
              <w:ind w:left="86" w:right="0" w:firstLine="0"/>
              <w:jc w:val="left"/>
            </w:pPr>
            <w:r>
              <w:rPr>
                <w:rFonts w:cs="Calibri" w:hAnsi="Calibri" w:eastAsia="Calibri" w:ascii="Calibri"/>
                <w:sz w:val="16"/>
              </w:rPr>
              <w:t xml:space="preserve">$3,000.00</w:t>
            </w:r>
          </w:p>
          <w:p>
            <w:pPr>
              <w:spacing w:before="0" w:after="0" w:line="259" w:lineRule="auto"/>
              <w:ind w:left="86" w:right="0" w:firstLine="0"/>
              <w:jc w:val="left"/>
            </w:pPr>
            <w:r>
              <w:rPr>
                <w:rFonts w:cs="Calibri" w:hAnsi="Calibri" w:eastAsia="Calibri" w:ascii="Calibri"/>
                <w:sz w:val="16"/>
              </w:rPr>
              <w:t xml:space="preserve">$3,000.00</w:t>
            </w:r>
          </w:p>
        </w:tc>
      </w:tr>
      <w:tr>
        <w:trPr>
          <w:trHeight w:val="441"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135" w:type="dxa"/>
            <w:tcBorders>
              <w:top w:val="double" w:sz="6" w:color="000000"/>
              <w:left w:val="nil"/>
              <w:bottom w:val="nil"/>
              <w:right w:val="nil"/>
            </w:tcBorders>
            <w:vAlign w:val="top"/>
          </w:tcPr>
          <w:p>
            <w:pPr>
              <w:bidi w:val="0"/>
              <w:spacing w:before="0" w:after="160" w:line="259" w:lineRule="auto"/>
              <w:ind w:left="0" w:right="0" w:firstLine="0"/>
              <w:jc w:val="left"/>
            </w:pPr>
          </w:p>
        </w:tc>
        <w:tc>
          <w:tcPr>
            <w:tcW w:w="1239" w:type="dxa"/>
            <w:tcBorders>
              <w:top w:val="double" w:sz="6" w:color="000000"/>
              <w:left w:val="nil"/>
              <w:bottom w:val="nil"/>
              <w:right w:val="nil"/>
            </w:tcBorders>
            <w:vAlign w:val="top"/>
          </w:tcPr>
          <w:p>
            <w:pPr>
              <w:bidi w:val="0"/>
              <w:spacing w:before="0" w:after="160" w:line="259" w:lineRule="auto"/>
              <w:ind w:left="0" w:right="0" w:firstLine="0"/>
              <w:jc w:val="left"/>
            </w:pPr>
          </w:p>
        </w:tc>
        <w:tc>
          <w:tcPr>
            <w:tcW w:w="1497" w:type="dxa"/>
            <w:gridSpan w:val="2"/>
            <w:tcBorders>
              <w:top w:val="double" w:sz="6" w:color="000000"/>
              <w:left w:val="nil"/>
              <w:bottom w:val="nil"/>
              <w:right w:val="nil"/>
            </w:tcBorders>
            <w:vAlign w:val="bottom"/>
          </w:tcPr>
          <w:p>
            <w:pPr>
              <w:spacing w:before="0" w:after="0" w:line="259" w:lineRule="auto"/>
              <w:ind w:left="0" w:right="0" w:firstLine="0"/>
              <w:jc w:val="left"/>
            </w:pPr>
            <w:r>
              <w:rPr>
                <w:rFonts w:cs="Calibri" w:hAnsi="Calibri" w:eastAsia="Calibri" w:ascii="Calibri"/>
                <w:b w:val="1"/>
                <w:sz w:val="16"/>
              </w:rPr>
              <w:t xml:space="preserve">SUBTOTAL:</w:t>
            </w:r>
          </w:p>
        </w:tc>
        <w:tc>
          <w:tcPr>
            <w:tcW w:w="784" w:type="dxa"/>
            <w:tcBorders>
              <w:top w:val="double" w:sz="6" w:color="000000"/>
              <w:left w:val="nil"/>
              <w:bottom w:val="nil"/>
              <w:right w:val="nil"/>
            </w:tcBorders>
            <w:vAlign w:val="top"/>
          </w:tcPr>
          <w:p>
            <w:pPr>
              <w:spacing w:before="0" w:after="0" w:line="259" w:lineRule="auto"/>
              <w:ind w:left="0" w:right="0" w:firstLine="14"/>
              <w:jc w:val="left"/>
            </w:pPr>
            <w:r>
              <w:rPr>
                <w:rFonts w:cs="Calibri" w:hAnsi="Calibri" w:eastAsia="Calibri" w:ascii="Calibri"/>
                <w:sz w:val="16"/>
              </w:rPr>
              <w:t xml:space="preserve">$12,000.00 </w:t>
            </w:r>
            <w:r>
              <w:rPr>
                <w:rFonts w:cs="Calibri" w:hAnsi="Calibri" w:eastAsia="Calibri" w:ascii="Calibri"/>
                <w:b w:val="1"/>
                <w:sz w:val="16"/>
              </w:rPr>
              <w:t xml:space="preserve">$68,072.00</w:t>
            </w:r>
          </w:p>
        </w:tc>
      </w:tr>
      <w:tr>
        <w:trPr>
          <w:trHeight w:val="211" w:hRule="atLeast"/>
        </w:trPr>
        <w:tc>
          <w:tcPr>
            <w:tcW w:w="11565" w:type="dxa"/>
            <w:gridSpan w:val="6"/>
            <w:tcBorders>
              <w:top w:val="nil"/>
              <w:left w:val="nil"/>
              <w:bottom w:val="nil"/>
              <w:right w:val="nil"/>
            </w:tcBorders>
            <w:shd w:val="clear" w:fill="dce6f1"/>
            <w:vAlign w:val="top"/>
          </w:tcPr>
          <w:p>
            <w:pPr>
              <w:tabs>
                <w:tab w:val="center" w:pos="404"/>
                <w:tab w:val="center" w:pos="5786"/>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6"/>
              </w:rPr>
              <w:t xml:space="preserve">2.1.3.	</w:t>
            </w:r>
            <w:r>
              <w:rPr>
                <w:rFonts w:cs="Calibri" w:hAnsi="Calibri" w:eastAsia="Calibri" w:ascii="Calibri"/>
                <w:b w:val="1"/>
                <w:sz w:val="16"/>
              </w:rPr>
              <w:t xml:space="preserve">Support%capacity%mapping%for%the%respective%EMBs%and%recommend%appropriate%response%strategy%for%technical%assistance%and%capacity%building</w:t>
            </w:r>
          </w:p>
        </w:tc>
        <w:tc>
          <w:tcPr>
            <w:tcW w:w="784" w:type="dxa"/>
            <w:tcBorders>
              <w:top w:val="nil"/>
              <w:left w:val="nil"/>
              <w:bottom w:val="nil"/>
              <w:right w:val="nil"/>
            </w:tcBorders>
            <w:shd w:val="clear" w:fill="dce6f1"/>
            <w:vAlign w:val="top"/>
          </w:tcPr>
          <w:p>
            <w:pPr>
              <w:bidi w:val="0"/>
              <w:spacing w:before="0" w:after="160" w:line="259" w:lineRule="auto"/>
              <w:ind w:left="0" w:right="0" w:firstLine="0"/>
              <w:jc w:val="left"/>
            </w:pPr>
          </w:p>
        </w:tc>
      </w:tr>
    </w:tbl>
    <w:p>
      <w:pPr>
        <w:spacing w:before="0" w:after="152" w:line="259" w:lineRule="auto"/>
        <w:ind w:left="10" w:right="159"/>
        <w:jc w:val="right"/>
      </w:pPr>
      <w:r>
        <w:rPr>
          <w:rFonts w:cs="Calibri" w:hAnsi="Calibri" w:eastAsia="Calibri" w:ascii="Calibri"/>
          <w:sz w:val="16"/>
        </w:rPr>
        <w:t xml:space="preserve">1*OF*2	</w:t>
      </w:r>
      <w:r>
        <w:rPr>
          <w:rFonts w:cs="Calibri" w:hAnsi="Calibri" w:eastAsia="Calibri" w:ascii="Calibri"/>
          <w:sz w:val="16"/>
        </w:rPr>
        <w:t xml:space="preserve">7/1/13 </w:t>
      </w:r>
      <w:r>
        <w:rPr>
          <w:rFonts w:cs="Calibri" w:hAnsi="Calibri" w:eastAsia="Calibri" w:ascii="Calibri"/>
          <w:sz w:val="16"/>
        </w:rPr>
        <w:t xml:space="preserve">DEMOCRATIC*EMPOWERMENT*PROJECT*WORK*PLAN*BUDGET*2013*8*2014</w:t>
      </w:r>
    </w:p>
    <w:tbl>
      <w:tblPr>
        <w:tblStyle w:val="TableGrid"/>
        <w:tblW w:w="12292" w:type="dxa"/>
        <w:tblInd w:w="-2" w:type="dxa"/>
        <w:tblCellMar>
          <w:top w:w="0" w:type="dxa"/>
          <w:left w:w="0" w:type="dxa"/>
          <w:bottom w:w="0" w:type="dxa"/>
          <w:right w:w="0" w:type="dxa"/>
        </w:tblCellMar>
      </w:tblPr>
      <w:tblGrid>
        <w:gridCol w:w="4751"/>
        <w:gridCol w:w="2947"/>
        <w:gridCol w:w="1103"/>
        <w:gridCol w:w="1239"/>
        <w:gridCol w:w="1501"/>
        <w:gridCol w:w="751"/>
      </w:tblGrid>
      <w:tr>
        <w:trPr>
          <w:trHeight w:val="1247" w:hRule="atLeast"/>
        </w:trPr>
        <w:tc>
          <w:tcPr>
            <w:tcW w:w="4751" w:type="dxa"/>
            <w:tcBorders>
              <w:top w:val="nil"/>
              <w:left w:val="nil"/>
              <w:bottom w:val="nil"/>
              <w:right w:val="nil"/>
            </w:tcBorders>
            <w:vAlign w:val="top"/>
          </w:tcPr>
          <w:p>
            <w:pPr>
              <w:spacing w:before="0" w:after="0" w:line="259" w:lineRule="auto"/>
              <w:ind w:left="0" w:right="0" w:firstLine="2"/>
              <w:jc w:val="left"/>
            </w:pPr>
            <w:r>
              <w:rPr>
                <w:rFonts w:cs="Calibri" w:hAnsi="Calibri" w:eastAsia="Calibri" w:ascii="Calibri"/>
                <w:sz w:val="16"/>
              </w:rPr>
              <w:t xml:space="preserve">*A.**Capacity8building*assessmenst*of*NEC*&amp;*ZEC*Headquarters* Operations.**To*support*current*operations*and*plan*for*potentially* expanded*role*under*new*Constition*an*new*election*laws.*</w:t>
            </w:r>
          </w:p>
        </w:tc>
        <w:tc>
          <w:tcPr>
            <w:tcW w:w="2947"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6"/>
              </w:rPr>
              <w:t xml:space="preserve">*Intl.*Consultant*8*EMB*Capacity*</w:t>
            </w:r>
          </w:p>
          <w:p>
            <w:pPr>
              <w:spacing w:before="0" w:after="0" w:line="259" w:lineRule="auto"/>
              <w:ind w:left="1" w:right="0" w:firstLine="0"/>
              <w:jc w:val="left"/>
            </w:pPr>
            <w:r>
              <w:rPr>
                <w:rFonts w:cs="Calibri" w:hAnsi="Calibri" w:eastAsia="Calibri" w:ascii="Calibri"/>
                <w:sz w:val="16"/>
              </w:rPr>
              <w:t xml:space="preserve">Assessment*Expert*</w:t>
            </w:r>
          </w:p>
          <w:p>
            <w:pPr>
              <w:spacing w:before="0" w:after="0" w:line="259" w:lineRule="auto"/>
              <w:ind w:left="50" w:right="0" w:firstLine="0"/>
              <w:jc w:val="left"/>
            </w:pPr>
            <w:r>
              <w:rPr>
                <w:rFonts w:cs="Calibri" w:hAnsi="Calibri" w:eastAsia="Calibri" w:ascii="Calibri"/>
                <w:sz w:val="16"/>
              </w:rPr>
              <w:t xml:space="preserve">Consultant*DSA</w:t>
            </w:r>
          </w:p>
          <w:p>
            <w:pPr>
              <w:spacing w:before="0" w:after="0" w:line="259" w:lineRule="auto"/>
              <w:ind w:left="50" w:right="0" w:firstLine="0"/>
              <w:jc w:val="left"/>
            </w:pPr>
            <w:r>
              <w:rPr>
                <w:rFonts w:cs="Calibri" w:hAnsi="Calibri" w:eastAsia="Calibri" w:ascii="Calibri"/>
                <w:sz w:val="16"/>
              </w:rPr>
              <w:t xml:space="preserve">Intl.*Consultant*8*Airfare</w:t>
            </w:r>
          </w:p>
          <w:p>
            <w:pPr>
              <w:spacing w:before="0" w:after="0" w:line="259" w:lineRule="auto"/>
              <w:ind w:left="50" w:right="0" w:firstLine="0"/>
              <w:jc w:val="left"/>
            </w:pPr>
            <w:r>
              <w:rPr>
                <w:rFonts w:cs="Calibri" w:hAnsi="Calibri" w:eastAsia="Calibri" w:ascii="Calibri"/>
                <w:sz w:val="16"/>
              </w:rPr>
              <w:t xml:space="preserve">Ground*Transportation</w:t>
            </w:r>
          </w:p>
          <w:p>
            <w:pPr>
              <w:spacing w:before="0" w:after="0" w:line="259" w:lineRule="auto"/>
              <w:ind w:left="50" w:right="0" w:firstLine="0"/>
              <w:jc w:val="left"/>
            </w:pPr>
            <w:r>
              <w:rPr>
                <w:rFonts w:cs="Calibri" w:hAnsi="Calibri" w:eastAsia="Calibri" w:ascii="Calibri"/>
                <w:sz w:val="16"/>
              </w:rPr>
              <w:t xml:space="preserve">Travel*&amp;*Perdiem</w:t>
            </w:r>
          </w:p>
        </w:tc>
        <w:tc>
          <w:tcPr>
            <w:tcW w:w="1103" w:type="dxa"/>
            <w:tcBorders>
              <w:top w:val="nil"/>
              <w:left w:val="nil"/>
              <w:bottom w:val="nil"/>
              <w:right w:val="nil"/>
            </w:tcBorders>
            <w:vAlign w:val="top"/>
          </w:tcPr>
          <w:p>
            <w:pPr>
              <w:spacing w:before="0" w:after="198" w:line="259" w:lineRule="auto"/>
              <w:ind w:left="21" w:right="0" w:firstLine="0"/>
              <w:jc w:val="left"/>
            </w:pPr>
            <w:r>
              <w:rPr>
                <w:rFonts w:cs="Calibri" w:hAnsi="Calibri" w:eastAsia="Calibri" w:ascii="Calibri"/>
                <w:sz w:val="16"/>
              </w:rPr>
              <w:t xml:space="preserve">Day</w:t>
            </w:r>
          </w:p>
          <w:p>
            <w:pPr>
              <w:spacing w:before="0" w:after="0" w:line="259" w:lineRule="auto"/>
              <w:ind w:left="21" w:right="0" w:firstLine="0"/>
              <w:jc w:val="left"/>
            </w:pPr>
            <w:r>
              <w:rPr>
                <w:rFonts w:cs="Calibri" w:hAnsi="Calibri" w:eastAsia="Calibri" w:ascii="Calibri"/>
                <w:sz w:val="16"/>
              </w:rPr>
              <w:t xml:space="preserve">Day</w:t>
            </w:r>
          </w:p>
          <w:p>
            <w:pPr>
              <w:spacing w:before="0" w:after="0" w:line="259" w:lineRule="auto"/>
              <w:ind w:left="32" w:right="0" w:firstLine="0"/>
              <w:jc w:val="left"/>
            </w:pPr>
            <w:r>
              <w:rPr>
                <w:rFonts w:cs="Calibri" w:hAnsi="Calibri" w:eastAsia="Calibri" w:ascii="Calibri"/>
                <w:sz w:val="16"/>
              </w:rPr>
              <w:t xml:space="preserve">R/T</w:t>
            </w:r>
          </w:p>
          <w:p>
            <w:pPr>
              <w:spacing w:before="0" w:after="0" w:line="259" w:lineRule="auto"/>
              <w:ind w:left="0" w:right="0" w:firstLine="0"/>
              <w:jc w:val="left"/>
            </w:pPr>
            <w:r>
              <w:rPr>
                <w:rFonts w:cs="Calibri" w:hAnsi="Calibri" w:eastAsia="Calibri" w:ascii="Calibri"/>
                <w:sz w:val="16"/>
              </w:rPr>
              <w:t xml:space="preserve">Pool</w:t>
            </w:r>
          </w:p>
          <w:p>
            <w:pPr>
              <w:spacing w:before="0" w:after="0" w:line="259" w:lineRule="auto"/>
              <w:ind w:left="0" w:right="0" w:firstLine="0"/>
              <w:jc w:val="left"/>
            </w:pPr>
            <w:r>
              <w:rPr>
                <w:rFonts w:cs="Calibri" w:hAnsi="Calibri" w:eastAsia="Calibri" w:ascii="Calibri"/>
                <w:sz w:val="16"/>
              </w:rPr>
              <w:t xml:space="preserve">Pool</w:t>
            </w:r>
          </w:p>
        </w:tc>
        <w:tc>
          <w:tcPr>
            <w:tcW w:w="1239" w:type="dxa"/>
            <w:tcBorders>
              <w:top w:val="nil"/>
              <w:left w:val="nil"/>
              <w:bottom w:val="nil"/>
              <w:right w:val="nil"/>
            </w:tcBorders>
            <w:vAlign w:val="top"/>
          </w:tcPr>
          <w:p>
            <w:pPr>
              <w:spacing w:before="0" w:after="198" w:line="259" w:lineRule="auto"/>
              <w:ind w:left="0" w:right="0" w:firstLine="0"/>
              <w:jc w:val="left"/>
            </w:pPr>
            <w:r>
              <w:rPr>
                <w:rFonts w:cs="Calibri" w:hAnsi="Calibri" w:eastAsia="Calibri" w:ascii="Calibri"/>
                <w:sz w:val="16"/>
              </w:rPr>
              <w:t xml:space="preserve">30</w:t>
            </w:r>
          </w:p>
          <w:p>
            <w:pPr>
              <w:spacing w:before="0" w:after="0" w:line="259" w:lineRule="auto"/>
              <w:ind w:left="0" w:right="0" w:firstLine="0"/>
              <w:jc w:val="left"/>
            </w:pPr>
            <w:r>
              <w:rPr>
                <w:rFonts w:cs="Calibri" w:hAnsi="Calibri" w:eastAsia="Calibri" w:ascii="Calibri"/>
                <w:sz w:val="16"/>
              </w:rPr>
              <w:t xml:space="preserve">42</w:t>
            </w:r>
          </w:p>
          <w:p>
            <w:pPr>
              <w:spacing w:before="0" w:after="0" w:line="259" w:lineRule="auto"/>
              <w:ind w:left="43" w:right="0" w:firstLine="0"/>
              <w:jc w:val="left"/>
            </w:pPr>
            <w:r>
              <w:rPr>
                <w:rFonts w:cs="Calibri" w:hAnsi="Calibri" w:eastAsia="Calibri" w:ascii="Calibri"/>
                <w:sz w:val="16"/>
              </w:rPr>
              <w:t xml:space="preserve">2</w:t>
            </w:r>
          </w:p>
          <w:p>
            <w:pPr>
              <w:spacing w:before="0" w:after="0" w:line="259" w:lineRule="auto"/>
              <w:ind w:left="43" w:right="0" w:firstLine="0"/>
              <w:jc w:val="left"/>
            </w:pPr>
            <w:r>
              <w:rPr>
                <w:rFonts w:cs="Calibri" w:hAnsi="Calibri" w:eastAsia="Calibri" w:ascii="Calibri"/>
                <w:sz w:val="16"/>
              </w:rPr>
              <w:t xml:space="preserve">1</w:t>
            </w:r>
          </w:p>
          <w:p>
            <w:pPr>
              <w:spacing w:before="0" w:after="0" w:line="259" w:lineRule="auto"/>
              <w:ind w:left="43" w:right="0" w:firstLine="0"/>
              <w:jc w:val="left"/>
            </w:pPr>
            <w:r>
              <w:rPr>
                <w:rFonts w:cs="Calibri" w:hAnsi="Calibri" w:eastAsia="Calibri" w:ascii="Calibri"/>
                <w:sz w:val="16"/>
              </w:rPr>
              <w:t xml:space="preserve">1</w:t>
            </w:r>
          </w:p>
        </w:tc>
        <w:tc>
          <w:tcPr>
            <w:tcW w:w="1501" w:type="dxa"/>
            <w:tcBorders>
              <w:top w:val="nil"/>
              <w:left w:val="nil"/>
              <w:bottom w:val="nil"/>
              <w:right w:val="nil"/>
            </w:tcBorders>
            <w:vAlign w:val="top"/>
          </w:tcPr>
          <w:p>
            <w:pPr>
              <w:spacing w:before="0" w:after="198" w:line="259" w:lineRule="auto"/>
              <w:ind w:left="229" w:right="0" w:firstLine="0"/>
              <w:jc w:val="left"/>
            </w:pPr>
            <w:r>
              <w:rPr>
                <w:rFonts w:cs="Calibri" w:hAnsi="Calibri" w:eastAsia="Calibri" w:ascii="Calibri"/>
                <w:sz w:val="16"/>
              </w:rPr>
              <w:t xml:space="preserve">$750.00</w:t>
            </w:r>
          </w:p>
          <w:p>
            <w:pPr>
              <w:spacing w:before="0" w:after="0" w:line="248" w:lineRule="auto"/>
              <w:ind w:left="104" w:right="61" w:firstLine="125"/>
              <w:jc w:val="left"/>
            </w:pPr>
            <w:r>
              <w:rPr>
                <w:rFonts w:cs="Calibri" w:hAnsi="Calibri" w:eastAsia="Calibri" w:ascii="Calibri"/>
                <w:sz w:val="16"/>
              </w:rPr>
              <w:t xml:space="preserve">$216.00 $2,500.00</w:t>
            </w:r>
          </w:p>
          <w:p>
            <w:pPr>
              <w:spacing w:before="0" w:after="0" w:line="259" w:lineRule="auto"/>
              <w:ind w:left="104" w:right="0" w:firstLine="0"/>
              <w:jc w:val="left"/>
            </w:pPr>
            <w:r>
              <w:rPr>
                <w:rFonts w:cs="Calibri" w:hAnsi="Calibri" w:eastAsia="Calibri" w:ascii="Calibri"/>
                <w:sz w:val="16"/>
              </w:rPr>
              <w:t xml:space="preserve">$5,000.00</w:t>
            </w:r>
          </w:p>
          <w:p>
            <w:pPr>
              <w:spacing w:before="0" w:after="0" w:line="259" w:lineRule="auto"/>
              <w:ind w:left="104" w:right="0" w:firstLine="0"/>
              <w:jc w:val="left"/>
            </w:pPr>
            <w:r>
              <w:rPr>
                <w:rFonts w:cs="Calibri" w:hAnsi="Calibri" w:eastAsia="Calibri" w:ascii="Calibri"/>
                <w:sz w:val="16"/>
              </w:rPr>
              <w:t xml:space="preserve">$5,000.00</w:t>
            </w:r>
          </w:p>
        </w:tc>
        <w:tc>
          <w:tcPr>
            <w:tcW w:w="751" w:type="dxa"/>
            <w:tcBorders>
              <w:top w:val="nil"/>
              <w:left w:val="nil"/>
              <w:bottom w:val="nil"/>
              <w:right w:val="nil"/>
            </w:tcBorders>
            <w:vAlign w:val="top"/>
          </w:tcPr>
          <w:p>
            <w:pPr>
              <w:spacing w:before="0" w:after="198" w:line="259" w:lineRule="auto"/>
              <w:ind w:left="0" w:right="0" w:firstLine="0"/>
            </w:pPr>
            <w:r>
              <w:rPr>
                <w:rFonts w:cs="Calibri" w:hAnsi="Calibri" w:eastAsia="Calibri" w:ascii="Calibri"/>
                <w:sz w:val="16"/>
              </w:rPr>
              <w:t xml:space="preserve">$22,500.00</w:t>
            </w:r>
          </w:p>
          <w:p>
            <w:pPr>
              <w:spacing w:before="0" w:after="0" w:line="259" w:lineRule="auto"/>
              <w:ind w:left="82" w:right="0" w:firstLine="0"/>
              <w:jc w:val="left"/>
            </w:pPr>
            <w:r>
              <w:rPr>
                <w:rFonts w:cs="Calibri" w:hAnsi="Calibri" w:eastAsia="Calibri" w:ascii="Calibri"/>
                <w:sz w:val="16"/>
              </w:rPr>
              <w:t xml:space="preserve">$9,072.00</w:t>
            </w:r>
          </w:p>
          <w:p>
            <w:pPr>
              <w:spacing w:before="0" w:after="0" w:line="259" w:lineRule="auto"/>
              <w:ind w:left="82" w:right="0" w:firstLine="0"/>
              <w:jc w:val="left"/>
            </w:pPr>
            <w:r>
              <w:rPr>
                <w:rFonts w:cs="Calibri" w:hAnsi="Calibri" w:eastAsia="Calibri" w:ascii="Calibri"/>
                <w:sz w:val="16"/>
              </w:rPr>
              <w:t xml:space="preserve">$5,000.00</w:t>
            </w:r>
          </w:p>
          <w:p>
            <w:pPr>
              <w:spacing w:before="0" w:after="0" w:line="259" w:lineRule="auto"/>
              <w:ind w:left="82" w:right="0" w:firstLine="0"/>
              <w:jc w:val="left"/>
            </w:pPr>
            <w:r>
              <w:rPr>
                <w:rFonts w:cs="Calibri" w:hAnsi="Calibri" w:eastAsia="Calibri" w:ascii="Calibri"/>
                <w:sz w:val="16"/>
              </w:rPr>
              <w:t xml:space="preserve">$5,000.00</w:t>
            </w:r>
          </w:p>
          <w:p>
            <w:pPr>
              <w:spacing w:before="0" w:after="0" w:line="259" w:lineRule="auto"/>
              <w:ind w:left="82" w:right="0" w:firstLine="0"/>
              <w:jc w:val="left"/>
            </w:pPr>
            <w:r>
              <w:rPr>
                <w:rFonts w:cs="Calibri" w:hAnsi="Calibri" w:eastAsia="Calibri" w:ascii="Calibri"/>
                <w:sz w:val="16"/>
              </w:rPr>
              <w:t xml:space="preserve">$5,000.00</w:t>
            </w:r>
          </w:p>
        </w:tc>
      </w:tr>
    </w:tbl>
    <w:tbl>
      <w:tblPr>
        <w:tblStyle w:val="TableGrid"/>
        <w:tblW w:w="12346" w:type="dxa"/>
        <w:tblInd w:w="-29" w:type="dxa"/>
        <w:tblCellMar>
          <w:top w:w="0" w:type="dxa"/>
          <w:left w:w="0" w:type="dxa"/>
          <w:bottom w:w="9" w:type="dxa"/>
          <w:right w:w="0" w:type="dxa"/>
        </w:tblCellMar>
      </w:tblPr>
      <w:tblGrid>
        <w:gridCol w:w="4777"/>
        <w:gridCol w:w="659"/>
        <w:gridCol w:w="2178"/>
        <w:gridCol w:w="111"/>
        <w:gridCol w:w="1093"/>
        <w:gridCol w:w="996"/>
        <w:gridCol w:w="254"/>
        <w:gridCol w:w="1411"/>
        <w:gridCol w:w="90"/>
        <w:gridCol w:w="777"/>
      </w:tblGrid>
      <w:tr>
        <w:trPr>
          <w:trHeight w:val="444" w:hRule="atLeast"/>
        </w:trPr>
        <w:tc>
          <w:tcPr>
            <w:tcW w:w="11568" w:type="dxa"/>
            <w:gridSpan w:val="9"/>
            <w:tcBorders>
              <w:top w:val="nil"/>
              <w:left w:val="nil"/>
              <w:bottom w:val="nil"/>
              <w:right w:val="nil"/>
            </w:tcBorders>
            <w:vAlign w:val="bottom"/>
          </w:tcPr>
          <w:p>
            <w:pPr>
              <w:spacing w:before="0" w:after="0" w:line="259" w:lineRule="auto"/>
              <w:ind w:left="0" w:right="733" w:firstLine="0"/>
              <w:jc w:val="right"/>
            </w:pPr>
            <w:r>
              <w:rPr>
                <w:rFonts w:cs="Calibri" w:hAnsi="Calibri" w:eastAsia="Calibri" w:ascii="Calibri"/>
                <w:b w:val="1"/>
                <w:sz w:val="16"/>
              </w:rPr>
              <w:t xml:space="preserve">SUBTOTAL:</w:t>
            </w:r>
          </w:p>
        </w:tc>
        <w:tc>
          <w:tcPr>
            <w:tcW w:w="777" w:type="dxa"/>
            <w:tcBorders>
              <w:top w:val="double" w:sz="6" w:color="000000"/>
              <w:left w:val="nil"/>
              <w:bottom w:val="nil"/>
              <w:right w:val="nil"/>
            </w:tcBorders>
            <w:vAlign w:val="top"/>
          </w:tcPr>
          <w:p>
            <w:pPr>
              <w:spacing w:before="0" w:after="0" w:line="259" w:lineRule="auto"/>
              <w:ind w:left="0" w:right="0" w:firstLine="0"/>
            </w:pPr>
            <w:r>
              <w:rPr>
                <w:rFonts w:cs="Calibri" w:hAnsi="Calibri" w:eastAsia="Calibri" w:ascii="Calibri"/>
                <w:sz w:val="16"/>
              </w:rPr>
              <w:t xml:space="preserve">$46,572.00</w:t>
            </w:r>
          </w:p>
        </w:tc>
      </w:tr>
      <w:tr>
        <w:trPr>
          <w:trHeight w:val="211" w:hRule="atLeast"/>
        </w:trPr>
        <w:tc>
          <w:tcPr>
            <w:tcW w:w="11568" w:type="dxa"/>
            <w:gridSpan w:val="9"/>
            <w:tcBorders>
              <w:top w:val="nil"/>
              <w:left w:val="nil"/>
              <w:bottom w:val="nil"/>
              <w:right w:val="nil"/>
            </w:tcBorders>
            <w:shd w:val="clear" w:fill="dce6f1"/>
            <w:vAlign w:val="top"/>
          </w:tcPr>
          <w:p>
            <w:pPr>
              <w:tabs>
                <w:tab w:val="center" w:pos="404"/>
                <w:tab w:val="center" w:pos="5701"/>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6"/>
              </w:rPr>
              <w:t xml:space="preserve">2.1.4.	</w:t>
            </w:r>
            <w:r>
              <w:rPr>
                <w:rFonts w:cs="Calibri" w:hAnsi="Calibri" w:eastAsia="Calibri" w:ascii="Calibri"/>
                <w:b w:val="1"/>
                <w:sz w:val="16"/>
              </w:rPr>
              <w:t xml:space="preserve">Support%NEC%feasibility%study%on%decentralization%including%cost%and%benefit%analysis,%with%a%comparative%analysis%from%countries%in%the%region</w:t>
            </w:r>
          </w:p>
        </w:tc>
        <w:tc>
          <w:tcPr>
            <w:tcW w:w="777"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1995" w:hRule="atLeast"/>
        </w:trPr>
        <w:tc>
          <w:tcPr>
            <w:tcW w:w="4777" w:type="dxa"/>
            <w:vMerge w:val="restart"/>
            <w:tcBorders>
              <w:top w:val="nil"/>
              <w:left w:val="nil"/>
              <w:bottom w:val="nil"/>
              <w:right w:val="nil"/>
            </w:tcBorders>
            <w:vAlign w:val="top"/>
          </w:tcPr>
          <w:p>
            <w:pPr>
              <w:spacing w:before="0" w:after="0" w:line="259" w:lineRule="auto"/>
              <w:ind w:left="27" w:right="0" w:firstLine="1"/>
              <w:jc w:val="left"/>
            </w:pPr>
            <w:r>
              <w:rPr>
                <w:rFonts w:cs="Calibri" w:hAnsi="Calibri" w:eastAsia="Calibri" w:ascii="Calibri"/>
                <w:sz w:val="16"/>
              </w:rPr>
              <w:t xml:space="preserve">A.**Support*to*joint*NEC8DEP*feasibility*study*of*decentralization*of* NEC*operations*to*focus*on*operational*infrastructure*including* office/warehouse*space,*transportation,*communications,*training* and*staffing*requirements.**Comparison*with*regional*EMB's*with* decentralized*operations*and*cost/benefit*analysis*will*be*included.</w:t>
            </w:r>
          </w:p>
        </w:tc>
        <w:tc>
          <w:tcPr>
            <w:tcW w:w="2948" w:type="dxa"/>
            <w:gridSpan w:val="3"/>
            <w:tcBorders>
              <w:top w:val="nil"/>
              <w:left w:val="nil"/>
              <w:bottom w:val="nil"/>
              <w:right w:val="nil"/>
            </w:tcBorders>
            <w:vAlign w:val="top"/>
          </w:tcPr>
          <w:p>
            <w:pPr>
              <w:spacing w:before="0" w:after="0" w:line="259" w:lineRule="auto"/>
              <w:ind w:left="1" w:right="0" w:firstLine="0"/>
              <w:jc w:val="left"/>
            </w:pPr>
            <w:r>
              <w:rPr>
                <w:rFonts w:cs="Calibri" w:hAnsi="Calibri" w:eastAsia="Calibri" w:ascii="Calibri"/>
                <w:sz w:val="16"/>
              </w:rPr>
              <w:t xml:space="preserve">*Intl.*Consultant*8*Election*</w:t>
            </w:r>
          </w:p>
          <w:p>
            <w:pPr>
              <w:spacing w:before="0" w:after="5" w:line="259" w:lineRule="auto"/>
              <w:ind w:left="0" w:right="0" w:firstLine="0"/>
              <w:jc w:val="left"/>
            </w:pPr>
            <w:r>
              <w:rPr>
                <w:rFonts w:cs="Calibri" w:hAnsi="Calibri" w:eastAsia="Calibri" w:ascii="Calibri"/>
                <w:sz w:val="16"/>
              </w:rPr>
              <w:t xml:space="preserve">Adminstration*&amp;*Operations**</w:t>
            </w:r>
          </w:p>
          <w:p>
            <w:pPr>
              <w:spacing w:before="0" w:after="5" w:line="259" w:lineRule="auto"/>
              <w:ind w:left="50" w:right="0" w:firstLine="0"/>
              <w:jc w:val="left"/>
            </w:pPr>
            <w:r>
              <w:rPr>
                <w:rFonts w:cs="Calibri" w:hAnsi="Calibri" w:eastAsia="Calibri" w:ascii="Calibri"/>
                <w:sz w:val="16"/>
              </w:rPr>
              <w:t xml:space="preserve">Consultant*DSA</w:t>
            </w:r>
          </w:p>
          <w:p>
            <w:pPr>
              <w:spacing w:before="0" w:after="0" w:line="259" w:lineRule="auto"/>
              <w:ind w:left="50" w:right="0" w:firstLine="0"/>
              <w:jc w:val="left"/>
            </w:pPr>
            <w:r>
              <w:rPr>
                <w:rFonts w:cs="Calibri" w:hAnsi="Calibri" w:eastAsia="Calibri" w:ascii="Calibri"/>
                <w:sz w:val="16"/>
              </w:rPr>
              <w:t xml:space="preserve">Intl.*Consultant*8*Airfare</w:t>
            </w:r>
          </w:p>
          <w:p>
            <w:pPr>
              <w:spacing w:before="0" w:after="16" w:line="259" w:lineRule="auto"/>
              <w:ind w:left="1" w:right="0" w:firstLine="0"/>
              <w:jc w:val="left"/>
            </w:pPr>
            <w:r>
              <w:rPr>
                <w:rFonts w:cs="Calibri" w:hAnsi="Calibri" w:eastAsia="Calibri" w:ascii="Calibri"/>
                <w:sz w:val="16"/>
              </w:rPr>
              <w:t xml:space="preserve">*National*Consultant*8*Logistics**</w:t>
            </w:r>
          </w:p>
          <w:p>
            <w:pPr>
              <w:spacing w:before="0" w:after="5" w:line="259" w:lineRule="auto"/>
              <w:ind w:left="50" w:right="0" w:firstLine="0"/>
              <w:jc w:val="left"/>
            </w:pPr>
            <w:r>
              <w:rPr>
                <w:rFonts w:cs="Calibri" w:hAnsi="Calibri" w:eastAsia="Calibri" w:ascii="Calibri"/>
                <w:sz w:val="16"/>
              </w:rPr>
              <w:t xml:space="preserve">National*Consultant*8*Perdiem</w:t>
            </w:r>
          </w:p>
          <w:p>
            <w:pPr>
              <w:spacing w:before="0" w:after="5" w:line="259" w:lineRule="auto"/>
              <w:ind w:left="50" w:right="0" w:firstLine="0"/>
              <w:jc w:val="left"/>
            </w:pPr>
            <w:r>
              <w:rPr>
                <w:rFonts w:cs="Calibri" w:hAnsi="Calibri" w:eastAsia="Calibri" w:ascii="Calibri"/>
                <w:sz w:val="16"/>
              </w:rPr>
              <w:t xml:space="preserve">Consultant*DSA</w:t>
            </w:r>
          </w:p>
          <w:p>
            <w:pPr>
              <w:spacing w:before="0" w:after="0" w:line="259" w:lineRule="auto"/>
              <w:ind w:left="50" w:right="0" w:firstLine="0"/>
              <w:jc w:val="left"/>
            </w:pPr>
            <w:r>
              <w:rPr>
                <w:rFonts w:cs="Calibri" w:hAnsi="Calibri" w:eastAsia="Calibri" w:ascii="Calibri"/>
                <w:sz w:val="16"/>
              </w:rPr>
              <w:t xml:space="preserve">Ground*Transportation</w:t>
            </w:r>
          </w:p>
          <w:p>
            <w:pPr>
              <w:spacing w:before="0" w:after="0" w:line="259" w:lineRule="auto"/>
              <w:ind w:left="50" w:right="0" w:firstLine="0"/>
              <w:jc w:val="left"/>
            </w:pPr>
            <w:r>
              <w:rPr>
                <w:rFonts w:cs="Calibri" w:hAnsi="Calibri" w:eastAsia="Calibri" w:ascii="Calibri"/>
                <w:sz w:val="16"/>
              </w:rPr>
              <w:t xml:space="preserve">RTA*Travel*&amp;*Perdiem</w:t>
            </w:r>
          </w:p>
        </w:tc>
        <w:tc>
          <w:tcPr>
            <w:tcW w:w="1093" w:type="dxa"/>
            <w:tcBorders>
              <w:top w:val="nil"/>
              <w:left w:val="nil"/>
              <w:bottom w:val="double" w:sz="6" w:color="000000"/>
              <w:right w:val="nil"/>
            </w:tcBorders>
            <w:vAlign w:val="top"/>
          </w:tcPr>
          <w:p>
            <w:pPr>
              <w:spacing w:before="0" w:after="227" w:line="259" w:lineRule="auto"/>
              <w:ind w:left="21" w:right="0" w:firstLine="0"/>
              <w:jc w:val="left"/>
            </w:pPr>
            <w:r>
              <w:rPr>
                <w:rFonts w:cs="Calibri" w:hAnsi="Calibri" w:eastAsia="Calibri" w:ascii="Calibri"/>
                <w:sz w:val="16"/>
              </w:rPr>
              <w:t xml:space="preserve">Day</w:t>
            </w:r>
          </w:p>
          <w:p>
            <w:pPr>
              <w:spacing w:before="0" w:after="5" w:line="259" w:lineRule="auto"/>
              <w:ind w:left="21" w:right="0" w:firstLine="0"/>
              <w:jc w:val="left"/>
            </w:pPr>
            <w:r>
              <w:rPr>
                <w:rFonts w:cs="Calibri" w:hAnsi="Calibri" w:eastAsia="Calibri" w:ascii="Calibri"/>
                <w:sz w:val="16"/>
              </w:rPr>
              <w:t xml:space="preserve">Day</w:t>
            </w:r>
          </w:p>
          <w:p>
            <w:pPr>
              <w:spacing w:before="0" w:after="5" w:line="259" w:lineRule="auto"/>
              <w:ind w:left="32" w:right="0" w:firstLine="0"/>
              <w:jc w:val="left"/>
            </w:pPr>
            <w:r>
              <w:rPr>
                <w:rFonts w:cs="Calibri" w:hAnsi="Calibri" w:eastAsia="Calibri" w:ascii="Calibri"/>
                <w:sz w:val="16"/>
              </w:rPr>
              <w:t xml:space="preserve">R/T</w:t>
            </w:r>
          </w:p>
          <w:p>
            <w:pPr>
              <w:spacing w:before="0" w:after="5" w:line="259" w:lineRule="auto"/>
              <w:ind w:left="21" w:right="0" w:firstLine="0"/>
              <w:jc w:val="left"/>
            </w:pPr>
            <w:r>
              <w:rPr>
                <w:rFonts w:cs="Calibri" w:hAnsi="Calibri" w:eastAsia="Calibri" w:ascii="Calibri"/>
                <w:sz w:val="16"/>
              </w:rPr>
              <w:t xml:space="preserve">Day</w:t>
            </w:r>
          </w:p>
          <w:p>
            <w:pPr>
              <w:spacing w:before="0" w:after="5" w:line="259" w:lineRule="auto"/>
              <w:ind w:left="21" w:right="0" w:firstLine="0"/>
              <w:jc w:val="left"/>
            </w:pPr>
            <w:r>
              <w:rPr>
                <w:rFonts w:cs="Calibri" w:hAnsi="Calibri" w:eastAsia="Calibri" w:ascii="Calibri"/>
                <w:sz w:val="16"/>
              </w:rPr>
              <w:t xml:space="preserve">Day</w:t>
            </w:r>
          </w:p>
          <w:p>
            <w:pPr>
              <w:spacing w:before="0" w:after="5" w:line="259" w:lineRule="auto"/>
              <w:ind w:left="32" w:right="0" w:firstLine="0"/>
              <w:jc w:val="left"/>
            </w:pPr>
            <w:r>
              <w:rPr>
                <w:rFonts w:cs="Calibri" w:hAnsi="Calibri" w:eastAsia="Calibri" w:ascii="Calibri"/>
                <w:sz w:val="16"/>
              </w:rPr>
              <w:t xml:space="preserve">R/T</w:t>
            </w:r>
          </w:p>
          <w:p>
            <w:pPr>
              <w:spacing w:before="0" w:after="0" w:line="259" w:lineRule="auto"/>
              <w:ind w:left="0" w:right="0" w:firstLine="0"/>
              <w:jc w:val="left"/>
            </w:pPr>
            <w:r>
              <w:rPr>
                <w:rFonts w:cs="Calibri" w:hAnsi="Calibri" w:eastAsia="Calibri" w:ascii="Calibri"/>
                <w:sz w:val="16"/>
              </w:rPr>
              <w:t xml:space="preserve">Pool</w:t>
            </w:r>
          </w:p>
          <w:p>
            <w:pPr>
              <w:spacing w:before="0" w:after="0" w:line="259" w:lineRule="auto"/>
              <w:ind w:left="0" w:right="0" w:firstLine="0"/>
              <w:jc w:val="left"/>
            </w:pPr>
            <w:r>
              <w:rPr>
                <w:rFonts w:cs="Calibri" w:hAnsi="Calibri" w:eastAsia="Calibri" w:ascii="Calibri"/>
                <w:sz w:val="16"/>
              </w:rPr>
              <w:t xml:space="preserve">Pool</w:t>
            </w:r>
          </w:p>
        </w:tc>
        <w:tc>
          <w:tcPr>
            <w:tcW w:w="1250" w:type="dxa"/>
            <w:gridSpan w:val="2"/>
            <w:tcBorders>
              <w:top w:val="nil"/>
              <w:left w:val="nil"/>
              <w:bottom w:val="double" w:sz="6" w:color="000000"/>
              <w:right w:val="nil"/>
            </w:tcBorders>
            <w:vAlign w:val="top"/>
          </w:tcPr>
          <w:p>
            <w:pPr>
              <w:spacing w:before="0" w:after="227" w:line="259" w:lineRule="auto"/>
              <w:ind w:left="11" w:right="0" w:firstLine="0"/>
              <w:jc w:val="left"/>
            </w:pPr>
            <w:r>
              <w:rPr>
                <w:rFonts w:cs="Calibri" w:hAnsi="Calibri" w:eastAsia="Calibri" w:ascii="Calibri"/>
                <w:sz w:val="16"/>
              </w:rPr>
              <w:t xml:space="preserve">30</w:t>
            </w:r>
          </w:p>
          <w:p>
            <w:pPr>
              <w:spacing w:before="0" w:after="5" w:line="259" w:lineRule="auto"/>
              <w:ind w:left="11" w:right="0" w:firstLine="0"/>
              <w:jc w:val="left"/>
            </w:pPr>
            <w:r>
              <w:rPr>
                <w:rFonts w:cs="Calibri" w:hAnsi="Calibri" w:eastAsia="Calibri" w:ascii="Calibri"/>
                <w:sz w:val="16"/>
              </w:rPr>
              <w:t xml:space="preserve">46</w:t>
            </w:r>
          </w:p>
          <w:p>
            <w:pPr>
              <w:spacing w:before="0" w:after="5" w:line="259" w:lineRule="auto"/>
              <w:ind w:left="54" w:right="0" w:firstLine="0"/>
              <w:jc w:val="left"/>
            </w:pPr>
            <w:r>
              <w:rPr>
                <w:rFonts w:cs="Calibri" w:hAnsi="Calibri" w:eastAsia="Calibri" w:ascii="Calibri"/>
                <w:sz w:val="16"/>
              </w:rPr>
              <w:t xml:space="preserve">2</w:t>
            </w:r>
          </w:p>
          <w:p>
            <w:pPr>
              <w:spacing w:before="0" w:after="5" w:line="259" w:lineRule="auto"/>
              <w:ind w:left="11" w:right="0" w:firstLine="0"/>
              <w:jc w:val="left"/>
            </w:pPr>
            <w:r>
              <w:rPr>
                <w:rFonts w:cs="Calibri" w:hAnsi="Calibri" w:eastAsia="Calibri" w:ascii="Calibri"/>
                <w:sz w:val="16"/>
              </w:rPr>
              <w:t xml:space="preserve">30</w:t>
            </w:r>
          </w:p>
          <w:p>
            <w:pPr>
              <w:spacing w:before="0" w:after="5" w:line="259" w:lineRule="auto"/>
              <w:ind w:left="11" w:right="0" w:firstLine="0"/>
              <w:jc w:val="left"/>
            </w:pPr>
            <w:r>
              <w:rPr>
                <w:rFonts w:cs="Calibri" w:hAnsi="Calibri" w:eastAsia="Calibri" w:ascii="Calibri"/>
                <w:sz w:val="16"/>
              </w:rPr>
              <w:t xml:space="preserve">20</w:t>
            </w:r>
          </w:p>
          <w:p>
            <w:pPr>
              <w:spacing w:before="0" w:after="5" w:line="259" w:lineRule="auto"/>
              <w:ind w:left="54" w:right="0" w:firstLine="0"/>
              <w:jc w:val="left"/>
            </w:pPr>
            <w:r>
              <w:rPr>
                <w:rFonts w:cs="Calibri" w:hAnsi="Calibri" w:eastAsia="Calibri" w:ascii="Calibri"/>
                <w:sz w:val="16"/>
              </w:rPr>
              <w:t xml:space="preserve">1</w:t>
            </w:r>
          </w:p>
          <w:p>
            <w:pPr>
              <w:spacing w:before="0" w:after="0" w:line="259" w:lineRule="auto"/>
              <w:ind w:left="54" w:right="0" w:firstLine="0"/>
              <w:jc w:val="left"/>
            </w:pPr>
            <w:r>
              <w:rPr>
                <w:rFonts w:cs="Calibri" w:hAnsi="Calibri" w:eastAsia="Calibri" w:ascii="Calibri"/>
                <w:sz w:val="16"/>
              </w:rPr>
              <w:t xml:space="preserve">2</w:t>
            </w:r>
          </w:p>
          <w:p>
            <w:pPr>
              <w:spacing w:before="0" w:after="0" w:line="259" w:lineRule="auto"/>
              <w:ind w:left="54" w:right="0" w:firstLine="0"/>
              <w:jc w:val="left"/>
            </w:pPr>
            <w:r>
              <w:rPr>
                <w:rFonts w:cs="Calibri" w:hAnsi="Calibri" w:eastAsia="Calibri" w:ascii="Calibri"/>
                <w:sz w:val="16"/>
              </w:rPr>
              <w:t xml:space="preserve">1</w:t>
            </w:r>
          </w:p>
        </w:tc>
        <w:tc>
          <w:tcPr>
            <w:tcW w:w="1501" w:type="dxa"/>
            <w:gridSpan w:val="2"/>
            <w:tcBorders>
              <w:top w:val="nil"/>
              <w:left w:val="nil"/>
              <w:bottom w:val="double" w:sz="6" w:color="000000"/>
              <w:right w:val="nil"/>
            </w:tcBorders>
            <w:vAlign w:val="top"/>
          </w:tcPr>
          <w:p>
            <w:pPr>
              <w:spacing w:before="0" w:after="227" w:line="259" w:lineRule="auto"/>
              <w:ind w:left="229" w:right="0" w:firstLine="0"/>
              <w:jc w:val="left"/>
            </w:pPr>
            <w:r>
              <w:rPr>
                <w:rFonts w:cs="Calibri" w:hAnsi="Calibri" w:eastAsia="Calibri" w:ascii="Calibri"/>
                <w:sz w:val="16"/>
              </w:rPr>
              <w:t xml:space="preserve">$750.00</w:t>
            </w:r>
          </w:p>
          <w:p>
            <w:pPr>
              <w:spacing w:before="0" w:after="5" w:line="259" w:lineRule="auto"/>
              <w:ind w:left="229" w:right="0" w:firstLine="0"/>
              <w:jc w:val="left"/>
            </w:pPr>
            <w:r>
              <w:rPr>
                <w:rFonts w:cs="Calibri" w:hAnsi="Calibri" w:eastAsia="Calibri" w:ascii="Calibri"/>
                <w:sz w:val="16"/>
              </w:rPr>
              <w:t xml:space="preserve">$216.00</w:t>
            </w:r>
          </w:p>
          <w:p>
            <w:pPr>
              <w:spacing w:before="0" w:after="0" w:line="265" w:lineRule="auto"/>
              <w:ind w:left="229" w:right="187" w:hanging="125"/>
              <w:jc w:val="left"/>
            </w:pPr>
            <w:r>
              <w:rPr>
                <w:rFonts w:cs="Calibri" w:hAnsi="Calibri" w:eastAsia="Calibri" w:ascii="Calibri"/>
                <w:sz w:val="16"/>
              </w:rPr>
              <w:t xml:space="preserve">$2,500.00 $500.00</w:t>
            </w:r>
          </w:p>
          <w:p>
            <w:pPr>
              <w:spacing w:before="0" w:after="5" w:line="259" w:lineRule="auto"/>
              <w:ind w:left="229" w:right="0" w:firstLine="0"/>
              <w:jc w:val="left"/>
            </w:pPr>
            <w:r>
              <w:rPr>
                <w:rFonts w:cs="Calibri" w:hAnsi="Calibri" w:eastAsia="Calibri" w:ascii="Calibri"/>
                <w:sz w:val="16"/>
              </w:rPr>
              <w:t xml:space="preserve">$100.00</w:t>
            </w:r>
          </w:p>
          <w:p>
            <w:pPr>
              <w:spacing w:before="0" w:after="5" w:line="259" w:lineRule="auto"/>
              <w:ind w:left="229" w:right="0" w:firstLine="0"/>
              <w:jc w:val="left"/>
            </w:pPr>
            <w:r>
              <w:rPr>
                <w:rFonts w:cs="Calibri" w:hAnsi="Calibri" w:eastAsia="Calibri" w:ascii="Calibri"/>
                <w:sz w:val="16"/>
              </w:rPr>
              <w:t xml:space="preserve">$500.00</w:t>
            </w:r>
          </w:p>
          <w:p>
            <w:pPr>
              <w:spacing w:before="0" w:after="0" w:line="259" w:lineRule="auto"/>
              <w:ind w:left="103" w:right="61" w:hanging="82"/>
              <w:jc w:val="left"/>
            </w:pPr>
            <w:r>
              <w:rPr>
                <w:rFonts w:cs="Calibri" w:hAnsi="Calibri" w:eastAsia="Calibri" w:ascii="Calibri"/>
                <w:sz w:val="16"/>
              </w:rPr>
              <w:t xml:space="preserve">$12,000.00 $5,000.00</w:t>
            </w:r>
          </w:p>
        </w:tc>
        <w:tc>
          <w:tcPr>
            <w:tcW w:w="777" w:type="dxa"/>
            <w:tcBorders>
              <w:top w:val="nil"/>
              <w:left w:val="nil"/>
              <w:bottom w:val="double" w:sz="6" w:color="000000"/>
              <w:right w:val="nil"/>
            </w:tcBorders>
            <w:vAlign w:val="top"/>
          </w:tcPr>
          <w:p>
            <w:pPr>
              <w:spacing w:before="0" w:after="227" w:line="259" w:lineRule="auto"/>
              <w:ind w:left="0" w:right="0" w:firstLine="0"/>
            </w:pPr>
            <w:r>
              <w:rPr>
                <w:rFonts w:cs="Calibri" w:hAnsi="Calibri" w:eastAsia="Calibri" w:ascii="Calibri"/>
                <w:sz w:val="16"/>
              </w:rPr>
              <w:t xml:space="preserve">$22,500.00</w:t>
            </w:r>
          </w:p>
          <w:p>
            <w:pPr>
              <w:spacing w:before="0" w:after="5" w:line="259" w:lineRule="auto"/>
              <w:ind w:left="82" w:right="0" w:firstLine="0"/>
              <w:jc w:val="left"/>
            </w:pPr>
            <w:r>
              <w:rPr>
                <w:rFonts w:cs="Calibri" w:hAnsi="Calibri" w:eastAsia="Calibri" w:ascii="Calibri"/>
                <w:sz w:val="16"/>
              </w:rPr>
              <w:t xml:space="preserve">$9,936.00</w:t>
            </w:r>
          </w:p>
          <w:p>
            <w:pPr>
              <w:spacing w:before="0" w:after="5" w:line="259" w:lineRule="auto"/>
              <w:ind w:left="82" w:right="0" w:firstLine="0"/>
              <w:jc w:val="left"/>
            </w:pPr>
            <w:r>
              <w:rPr>
                <w:rFonts w:cs="Calibri" w:hAnsi="Calibri" w:eastAsia="Calibri" w:ascii="Calibri"/>
                <w:sz w:val="16"/>
              </w:rPr>
              <w:t xml:space="preserve">$5,000.00</w:t>
            </w:r>
          </w:p>
          <w:p>
            <w:pPr>
              <w:spacing w:before="0" w:after="5" w:line="259" w:lineRule="auto"/>
              <w:ind w:left="0" w:right="0" w:firstLine="0"/>
            </w:pPr>
            <w:r>
              <w:rPr>
                <w:rFonts w:cs="Calibri" w:hAnsi="Calibri" w:eastAsia="Calibri" w:ascii="Calibri"/>
                <w:sz w:val="16"/>
              </w:rPr>
              <w:t xml:space="preserve">$15,000.00</w:t>
            </w:r>
          </w:p>
          <w:p>
            <w:pPr>
              <w:spacing w:before="0" w:after="5" w:line="259" w:lineRule="auto"/>
              <w:ind w:left="82" w:right="0" w:firstLine="0"/>
              <w:jc w:val="left"/>
            </w:pPr>
            <w:r>
              <w:rPr>
                <w:rFonts w:cs="Calibri" w:hAnsi="Calibri" w:eastAsia="Calibri" w:ascii="Calibri"/>
                <w:sz w:val="16"/>
              </w:rPr>
              <w:t xml:space="preserve">$2,000.00</w:t>
            </w:r>
          </w:p>
          <w:p>
            <w:pPr>
              <w:spacing w:before="0" w:after="5" w:line="259" w:lineRule="auto"/>
              <w:ind w:left="0" w:right="27" w:firstLine="0"/>
              <w:jc w:val="right"/>
            </w:pPr>
            <w:r>
              <w:rPr>
                <w:rFonts w:cs="Calibri" w:hAnsi="Calibri" w:eastAsia="Calibri" w:ascii="Calibri"/>
                <w:sz w:val="16"/>
              </w:rPr>
              <w:t xml:space="preserve">$500.00</w:t>
            </w:r>
          </w:p>
          <w:p>
            <w:pPr>
              <w:spacing w:before="0" w:after="0" w:line="259" w:lineRule="auto"/>
              <w:ind w:left="0" w:right="26" w:firstLine="0"/>
              <w:jc w:val="right"/>
            </w:pPr>
            <w:r>
              <w:rPr>
                <w:rFonts w:cs="Calibri" w:hAnsi="Calibri" w:eastAsia="Calibri" w:ascii="Calibri"/>
                <w:sz w:val="16"/>
              </w:rPr>
              <w:t xml:space="preserve">$24,000.00 $5,000.00</w:t>
            </w:r>
          </w:p>
        </w:tc>
      </w:tr>
      <w:tr>
        <w:trPr>
          <w:trHeight w:val="222"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tcW w:w="2948" w:type="dxa"/>
            <w:gridSpan w:val="3"/>
            <w:tcBorders>
              <w:top w:val="nil"/>
              <w:left w:val="nil"/>
              <w:bottom w:val="nil"/>
              <w:right w:val="nil"/>
            </w:tcBorders>
            <w:vAlign w:val="top"/>
          </w:tcPr>
          <w:p>
            <w:pPr>
              <w:bidi w:val="0"/>
              <w:spacing w:before="0" w:after="160" w:line="259" w:lineRule="auto"/>
              <w:ind w:left="0" w:right="0" w:firstLine="0"/>
              <w:jc w:val="left"/>
            </w:pPr>
          </w:p>
        </w:tc>
        <w:tc>
          <w:tcPr>
            <w:tcW w:w="1093" w:type="dxa"/>
            <w:tcBorders>
              <w:top w:val="double" w:sz="6" w:color="000000"/>
              <w:left w:val="nil"/>
              <w:bottom w:val="nil"/>
              <w:right w:val="nil"/>
            </w:tcBorders>
            <w:vAlign w:val="center"/>
          </w:tcPr>
          <w:p>
            <w:pPr>
              <w:bidi w:val="0"/>
              <w:spacing w:before="0" w:after="160" w:line="259" w:lineRule="auto"/>
              <w:ind w:left="0" w:right="0" w:firstLine="0"/>
              <w:jc w:val="left"/>
            </w:pPr>
          </w:p>
        </w:tc>
        <w:tc>
          <w:tcPr>
            <w:tcW w:w="1250" w:type="dxa"/>
            <w:gridSpan w:val="2"/>
            <w:tcBorders>
              <w:top w:val="double" w:sz="6" w:color="000000"/>
              <w:left w:val="nil"/>
              <w:bottom w:val="nil"/>
              <w:right w:val="nil"/>
            </w:tcBorders>
            <w:vAlign w:val="top"/>
          </w:tcPr>
          <w:p>
            <w:pPr>
              <w:bidi w:val="0"/>
              <w:spacing w:before="0" w:after="160" w:line="259" w:lineRule="auto"/>
              <w:ind w:left="0" w:right="0" w:firstLine="0"/>
              <w:jc w:val="left"/>
            </w:pPr>
          </w:p>
        </w:tc>
        <w:tc>
          <w:tcPr>
            <w:tcW w:w="1501" w:type="dxa"/>
            <w:gridSpan w:val="2"/>
            <w:tcBorders>
              <w:top w:val="double" w:sz="6" w:color="000000"/>
              <w:left w:val="nil"/>
              <w:bottom w:val="nil"/>
              <w:right w:val="nil"/>
            </w:tcBorders>
            <w:vAlign w:val="top"/>
          </w:tcPr>
          <w:p>
            <w:pPr>
              <w:spacing w:before="0" w:after="0" w:line="259" w:lineRule="auto"/>
              <w:ind w:left="0" w:right="0" w:firstLine="0"/>
              <w:jc w:val="left"/>
            </w:pPr>
            <w:r>
              <w:rPr>
                <w:rFonts w:cs="Calibri" w:hAnsi="Calibri" w:eastAsia="Calibri" w:ascii="Calibri"/>
                <w:b w:val="1"/>
                <w:sz w:val="16"/>
              </w:rPr>
              <w:t xml:space="preserve">SUBTOTAL:</w:t>
            </w:r>
          </w:p>
        </w:tc>
        <w:tc>
          <w:tcPr>
            <w:tcW w:w="777" w:type="dxa"/>
            <w:tcBorders>
              <w:top w:val="double" w:sz="6" w:color="000000"/>
              <w:left w:val="nil"/>
              <w:bottom w:val="nil"/>
              <w:right w:val="nil"/>
            </w:tcBorders>
            <w:vAlign w:val="top"/>
          </w:tcPr>
          <w:p>
            <w:pPr>
              <w:spacing w:before="0" w:after="0" w:line="259" w:lineRule="auto"/>
              <w:ind w:left="7" w:right="0" w:firstLine="0"/>
            </w:pPr>
            <w:r>
              <w:rPr>
                <w:rFonts w:cs="Calibri" w:hAnsi="Calibri" w:eastAsia="Calibri" w:ascii="Calibri"/>
                <w:b w:val="1"/>
                <w:sz w:val="16"/>
              </w:rPr>
              <w:t xml:space="preserve">$83,936.00</w:t>
            </w:r>
          </w:p>
        </w:tc>
      </w:tr>
      <w:tr>
        <w:trPr>
          <w:trHeight w:val="469" w:hRule="atLeast"/>
        </w:trPr>
        <w:tc>
          <w:tcPr>
            <w:tcW w:w="12346" w:type="dxa"/>
            <w:gridSpan w:val="10"/>
            <w:tcBorders>
              <w:top w:val="nil"/>
              <w:left w:val="nil"/>
              <w:bottom w:val="nil"/>
              <w:right w:val="nil"/>
            </w:tcBorders>
            <w:shd w:val="clear" w:fill="dce6f1"/>
            <w:vAlign w:val="top"/>
          </w:tcPr>
          <w:p>
            <w:pPr>
              <w:spacing w:before="0" w:after="0" w:line="259" w:lineRule="auto"/>
              <w:ind w:left="818" w:right="0" w:hanging="606"/>
            </w:pPr>
            <w:r>
              <w:rPr>
                <w:rFonts w:cs="Calibri" w:hAnsi="Calibri" w:eastAsia="Calibri" w:ascii="Calibri"/>
                <w:b w:val="1"/>
                <w:sz w:val="16"/>
              </w:rPr>
              <w:t xml:space="preserve">2.1.5. </w:t>
            </w:r>
            <w:r>
              <w:rPr>
                <w:rFonts w:cs="Calibri" w:hAnsi="Calibri" w:eastAsia="Calibri" w:ascii="Calibri"/>
                <w:b w:val="1"/>
                <w:sz w:val="16"/>
              </w:rPr>
              <w:t xml:space="preserve">%Support%NEC%in%the%development%and%institutionalization%of%a%performance%monitoring%system%for%electoral%process%to%help%the%commission%make%more%informed% decisions.%%</w:t>
            </w:r>
          </w:p>
        </w:tc>
      </w:tr>
      <w:tr>
        <w:trPr>
          <w:trHeight w:val="856" w:hRule="atLeast"/>
        </w:trPr>
        <w:tc>
          <w:tcPr>
            <w:tcW w:w="5437" w:type="dxa"/>
            <w:gridSpan w:val="2"/>
            <w:vMerge w:val="restart"/>
            <w:tcBorders>
              <w:top w:val="nil"/>
              <w:left w:val="nil"/>
              <w:bottom w:val="nil"/>
              <w:right w:val="nil"/>
            </w:tcBorders>
            <w:vAlign w:val="top"/>
          </w:tcPr>
          <w:p>
            <w:pPr>
              <w:spacing w:before="0" w:after="0" w:line="254" w:lineRule="auto"/>
              <w:ind w:left="28" w:right="-427" w:firstLine="1"/>
            </w:pPr>
            <w:r>
              <w:rPr>
                <w:rFonts w:cs="Calibri" w:hAnsi="Calibri" w:eastAsia="Calibri" w:ascii="Calibri"/>
                <w:sz w:val="16"/>
              </w:rPr>
              <w:t xml:space="preserve">A.**Support*for*the*development*of*an*integrated*performance* monitoring*systems*for*NEC*&amp;*ZEC*emanating*from*their*strategic* plans*and*including*activity*planning,*setting*of*performance*targets* Consultant*DSA and*collection/analysis*of*operational*data.*Closely*linked*will*be*both* Intl.*Con</w:t>
            </w:r>
          </w:p>
          <w:p>
            <w:pPr>
              <w:spacing w:before="0" w:after="0" w:line="259" w:lineRule="auto"/>
              <w:ind w:left="28" w:right="23" w:firstLine="2"/>
              <w:jc w:val="left"/>
            </w:pPr>
            <w:r>
              <w:rPr>
                <w:rFonts w:cs="Calibri" w:hAnsi="Calibri" w:eastAsia="Calibri" w:ascii="Calibri"/>
                <w:sz w:val="16"/>
              </w:rPr>
              <w:t xml:space="preserve">budget*development*and*execution.*As*reform*of*each*EMB*is*an* expected*outcome*of*the*Constitutional*review*process,*emphasis*will* be*on*building*capacity*within*each*EMB*so*that*they*are*able*to*plan* and*budget*appropriately*and**demonstrate*value*for*money*in*their* operations.</w:t>
            </w:r>
          </w:p>
        </w:tc>
        <w:tc>
          <w:tcPr>
            <w:tcW w:w="2178" w:type="dxa"/>
            <w:vMerge w:val="restart"/>
            <w:tcBorders>
              <w:top w:val="nil"/>
              <w:left w:val="nil"/>
              <w:bottom w:val="nil"/>
              <w:right w:val="nil"/>
            </w:tcBorders>
            <w:vAlign w:val="top"/>
          </w:tcPr>
          <w:p>
            <w:pPr>
              <w:spacing w:before="0" w:after="0" w:line="259" w:lineRule="auto"/>
              <w:ind w:left="-659" w:right="743" w:firstLine="0"/>
              <w:jc w:val="center"/>
            </w:pPr>
            <w:r>
              <w:rPr>
                <w:rFonts w:cs="Calibri" w:hAnsi="Calibri" w:eastAsia="Calibri" w:ascii="Calibri"/>
                <w:sz w:val="16"/>
              </w:rPr>
              <w:t xml:space="preserve">*Intl.*Consultant*8*Performance*</w:t>
            </w:r>
          </w:p>
          <w:p>
            <w:pPr>
              <w:spacing w:before="0" w:after="198" w:line="259" w:lineRule="auto"/>
              <w:ind w:left="-657" w:right="715" w:firstLine="0"/>
              <w:jc w:val="center"/>
            </w:pPr>
            <w:r>
              <w:rPr>
                <w:rFonts w:cs="Calibri" w:hAnsi="Calibri" w:eastAsia="Calibri" w:ascii="Calibri"/>
                <w:sz w:val="16"/>
              </w:rPr>
              <w:t xml:space="preserve">Management/Value*for*Money*</w:t>
            </w:r>
          </w:p>
          <w:p>
            <w:pPr>
              <w:spacing w:before="0" w:after="0" w:line="259" w:lineRule="auto"/>
              <w:ind w:left="-48" w:right="0" w:firstLine="0"/>
              <w:jc w:val="left"/>
            </w:pPr>
            <w:r>
              <w:rPr>
                <w:rFonts w:cs="Calibri" w:hAnsi="Calibri" w:eastAsia="Calibri" w:ascii="Calibri"/>
                <w:sz w:val="16"/>
              </w:rPr>
              <w:t xml:space="preserve">sultant*8*Airfare</w:t>
            </w:r>
          </w:p>
        </w:tc>
        <w:tc>
          <w:tcPr>
            <w:tcW w:w="1204" w:type="dxa"/>
            <w:gridSpan w:val="2"/>
            <w:tcBorders>
              <w:top w:val="nil"/>
              <w:left w:val="nil"/>
              <w:bottom w:val="double" w:sz="6" w:color="000000"/>
              <w:right w:val="nil"/>
            </w:tcBorders>
            <w:vAlign w:val="top"/>
          </w:tcPr>
          <w:p>
            <w:pPr>
              <w:spacing w:before="0" w:after="198" w:line="259" w:lineRule="auto"/>
              <w:ind w:left="133" w:right="0" w:firstLine="0"/>
              <w:jc w:val="left"/>
            </w:pPr>
            <w:r>
              <w:rPr>
                <w:rFonts w:cs="Calibri" w:hAnsi="Calibri" w:eastAsia="Calibri" w:ascii="Calibri"/>
                <w:sz w:val="16"/>
              </w:rPr>
              <w:t xml:space="preserve">Day</w:t>
            </w:r>
          </w:p>
          <w:p>
            <w:pPr>
              <w:spacing w:before="0" w:after="0" w:line="259" w:lineRule="auto"/>
              <w:ind w:left="133" w:right="0" w:firstLine="0"/>
              <w:jc w:val="left"/>
            </w:pPr>
            <w:r>
              <w:rPr>
                <w:rFonts w:cs="Calibri" w:hAnsi="Calibri" w:eastAsia="Calibri" w:ascii="Calibri"/>
                <w:sz w:val="16"/>
              </w:rPr>
              <w:t xml:space="preserve">Day</w:t>
            </w:r>
          </w:p>
          <w:p>
            <w:pPr>
              <w:spacing w:before="0" w:after="0" w:line="259" w:lineRule="auto"/>
              <w:ind w:left="143" w:right="0" w:firstLine="0"/>
              <w:jc w:val="left"/>
            </w:pPr>
            <w:r>
              <w:rPr>
                <w:rFonts w:cs="Calibri" w:hAnsi="Calibri" w:eastAsia="Calibri" w:ascii="Calibri"/>
                <w:sz w:val="16"/>
              </w:rPr>
              <w:t xml:space="preserve">R/T</w:t>
            </w:r>
          </w:p>
        </w:tc>
        <w:tc>
          <w:tcPr>
            <w:tcW w:w="996" w:type="dxa"/>
            <w:tcBorders>
              <w:top w:val="nil"/>
              <w:left w:val="nil"/>
              <w:bottom w:val="double" w:sz="6" w:color="000000"/>
              <w:right w:val="nil"/>
            </w:tcBorders>
            <w:vAlign w:val="top"/>
          </w:tcPr>
          <w:p>
            <w:pPr>
              <w:spacing w:before="0" w:after="198" w:line="259" w:lineRule="auto"/>
              <w:ind w:left="11" w:right="0" w:firstLine="0"/>
              <w:jc w:val="left"/>
            </w:pPr>
            <w:r>
              <w:rPr>
                <w:rFonts w:cs="Calibri" w:hAnsi="Calibri" w:eastAsia="Calibri" w:ascii="Calibri"/>
                <w:sz w:val="16"/>
              </w:rPr>
              <w:t xml:space="preserve">25</w:t>
            </w:r>
          </w:p>
          <w:p>
            <w:pPr>
              <w:spacing w:before="0" w:after="0" w:line="259" w:lineRule="auto"/>
              <w:ind w:left="11" w:right="0" w:firstLine="0"/>
              <w:jc w:val="left"/>
            </w:pPr>
            <w:r>
              <w:rPr>
                <w:rFonts w:cs="Calibri" w:hAnsi="Calibri" w:eastAsia="Calibri" w:ascii="Calibri"/>
                <w:sz w:val="16"/>
              </w:rPr>
              <w:t xml:space="preserve">33</w:t>
            </w:r>
          </w:p>
          <w:p>
            <w:pPr>
              <w:spacing w:before="0" w:after="0" w:line="259" w:lineRule="auto"/>
              <w:ind w:left="54" w:right="0" w:firstLine="0"/>
              <w:jc w:val="left"/>
            </w:pPr>
            <w:r>
              <w:rPr>
                <w:rFonts w:cs="Calibri" w:hAnsi="Calibri" w:eastAsia="Calibri" w:ascii="Calibri"/>
                <w:sz w:val="16"/>
              </w:rPr>
              <w:t xml:space="preserve">1</w:t>
            </w:r>
          </w:p>
        </w:tc>
        <w:tc>
          <w:tcPr>
            <w:tcW w:w="1665" w:type="dxa"/>
            <w:gridSpan w:val="2"/>
            <w:tcBorders>
              <w:top w:val="nil"/>
              <w:left w:val="nil"/>
              <w:bottom w:val="double" w:sz="6" w:color="000000"/>
              <w:right w:val="nil"/>
            </w:tcBorders>
            <w:vAlign w:val="top"/>
          </w:tcPr>
          <w:p>
            <w:pPr>
              <w:spacing w:before="0" w:after="198" w:line="259" w:lineRule="auto"/>
              <w:ind w:left="484" w:right="0" w:firstLine="0"/>
              <w:jc w:val="left"/>
            </w:pPr>
            <w:r>
              <w:rPr>
                <w:rFonts w:cs="Calibri" w:hAnsi="Calibri" w:eastAsia="Calibri" w:ascii="Calibri"/>
                <w:sz w:val="16"/>
              </w:rPr>
              <w:t xml:space="preserve">$750.00</w:t>
            </w:r>
          </w:p>
          <w:p>
            <w:pPr>
              <w:spacing w:before="0" w:after="0" w:line="259" w:lineRule="auto"/>
              <w:ind w:left="358" w:right="0" w:firstLine="125"/>
              <w:jc w:val="left"/>
            </w:pPr>
            <w:r>
              <w:rPr>
                <w:rFonts w:cs="Calibri" w:hAnsi="Calibri" w:eastAsia="Calibri" w:ascii="Calibri"/>
                <w:sz w:val="16"/>
              </w:rPr>
              <w:t xml:space="preserve">$216.00 $2,500.00</w:t>
            </w:r>
          </w:p>
        </w:tc>
        <w:tc>
          <w:tcPr>
            <w:tcW w:w="867" w:type="dxa"/>
            <w:gridSpan w:val="2"/>
            <w:tcBorders>
              <w:top w:val="nil"/>
              <w:left w:val="nil"/>
              <w:bottom w:val="double" w:sz="6" w:color="000000"/>
              <w:right w:val="nil"/>
            </w:tcBorders>
            <w:vAlign w:val="top"/>
          </w:tcPr>
          <w:p>
            <w:pPr>
              <w:spacing w:before="0" w:after="198" w:line="259" w:lineRule="auto"/>
              <w:ind w:left="90" w:right="0" w:firstLine="0"/>
              <w:jc w:val="left"/>
            </w:pPr>
            <w:r>
              <w:rPr>
                <w:rFonts w:cs="Calibri" w:hAnsi="Calibri" w:eastAsia="Calibri" w:ascii="Calibri"/>
                <w:sz w:val="16"/>
              </w:rPr>
              <w:t xml:space="preserve">$18,750.00</w:t>
            </w:r>
          </w:p>
          <w:p>
            <w:pPr>
              <w:spacing w:before="0" w:after="0" w:line="259" w:lineRule="auto"/>
              <w:ind w:left="0" w:right="28" w:firstLine="0"/>
              <w:jc w:val="right"/>
            </w:pPr>
            <w:r>
              <w:rPr>
                <w:rFonts w:cs="Calibri" w:hAnsi="Calibri" w:eastAsia="Calibri" w:ascii="Calibri"/>
                <w:sz w:val="16"/>
              </w:rPr>
              <w:t xml:space="preserve">$7,128.00</w:t>
            </w:r>
          </w:p>
          <w:p>
            <w:pPr>
              <w:spacing w:before="0" w:after="0" w:line="259" w:lineRule="auto"/>
              <w:ind w:left="0" w:right="28" w:firstLine="0"/>
              <w:jc w:val="right"/>
            </w:pPr>
            <w:r>
              <w:rPr>
                <w:rFonts w:cs="Calibri" w:hAnsi="Calibri" w:eastAsia="Calibri" w:ascii="Calibri"/>
                <w:sz w:val="16"/>
              </w:rPr>
              <w:t xml:space="preserve">$2,500.00</w:t>
            </w:r>
          </w:p>
        </w:tc>
      </w:tr>
      <w:tr>
        <w:trPr>
          <w:trHeight w:val="1332" w:hRule="atLeast"/>
        </w:trPr>
        <w:tc>
          <w:tcPr>
            <w:gridSpan w:val="2"/>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204" w:type="dxa"/>
            <w:gridSpan w:val="2"/>
            <w:tcBorders>
              <w:top w:val="double" w:sz="6" w:color="000000"/>
              <w:left w:val="nil"/>
              <w:bottom w:val="nil"/>
              <w:right w:val="nil"/>
            </w:tcBorders>
            <w:vAlign w:val="top"/>
          </w:tcPr>
          <w:p>
            <w:pPr>
              <w:bidi w:val="0"/>
              <w:spacing w:before="0" w:after="160" w:line="259" w:lineRule="auto"/>
              <w:ind w:left="0" w:right="0" w:firstLine="0"/>
              <w:jc w:val="left"/>
            </w:pPr>
          </w:p>
        </w:tc>
        <w:tc>
          <w:tcPr>
            <w:tcW w:w="996" w:type="dxa"/>
            <w:tcBorders>
              <w:top w:val="double" w:sz="6" w:color="000000"/>
              <w:left w:val="nil"/>
              <w:bottom w:val="nil"/>
              <w:right w:val="nil"/>
            </w:tcBorders>
            <w:vAlign w:val="top"/>
          </w:tcPr>
          <w:p>
            <w:pPr>
              <w:bidi w:val="0"/>
              <w:spacing w:before="0" w:after="160" w:line="259" w:lineRule="auto"/>
              <w:ind w:left="0" w:right="0" w:firstLine="0"/>
              <w:jc w:val="left"/>
            </w:pPr>
          </w:p>
        </w:tc>
        <w:tc>
          <w:tcPr>
            <w:tcW w:w="1665" w:type="dxa"/>
            <w:gridSpan w:val="2"/>
            <w:tcBorders>
              <w:top w:val="double" w:sz="6" w:color="000000"/>
              <w:left w:val="nil"/>
              <w:bottom w:val="nil"/>
              <w:right w:val="nil"/>
            </w:tcBorders>
            <w:vAlign w:val="top"/>
          </w:tcPr>
          <w:p>
            <w:pPr>
              <w:spacing w:before="0" w:after="0" w:line="259" w:lineRule="auto"/>
              <w:ind w:left="254" w:right="0" w:firstLine="0"/>
              <w:jc w:val="left"/>
            </w:pPr>
            <w:r>
              <w:rPr>
                <w:rFonts w:cs="Calibri" w:hAnsi="Calibri" w:eastAsia="Calibri" w:ascii="Calibri"/>
                <w:b w:val="1"/>
                <w:sz w:val="16"/>
              </w:rPr>
              <w:t xml:space="preserve">SUBTOTAL:</w:t>
            </w:r>
          </w:p>
        </w:tc>
        <w:tc>
          <w:tcPr>
            <w:tcW w:w="867" w:type="dxa"/>
            <w:gridSpan w:val="2"/>
            <w:tcBorders>
              <w:top w:val="double" w:sz="6" w:color="000000"/>
              <w:left w:val="nil"/>
              <w:bottom w:val="nil"/>
              <w:right w:val="nil"/>
            </w:tcBorders>
            <w:vAlign w:val="top"/>
          </w:tcPr>
          <w:p>
            <w:pPr>
              <w:spacing w:before="0" w:after="0" w:line="259" w:lineRule="auto"/>
              <w:ind w:left="86" w:right="0" w:firstLine="0"/>
              <w:jc w:val="left"/>
            </w:pPr>
            <w:r>
              <w:rPr>
                <w:rFonts w:cs="Calibri" w:hAnsi="Calibri" w:eastAsia="Calibri" w:ascii="Calibri"/>
                <w:b w:val="1"/>
                <w:sz w:val="16"/>
              </w:rPr>
              <w:t xml:space="preserve">$28,378.00</w:t>
            </w:r>
          </w:p>
        </w:tc>
      </w:tr>
      <w:tr>
        <w:trPr>
          <w:trHeight w:val="211" w:hRule="atLeast"/>
        </w:trPr>
        <w:tc>
          <w:tcPr>
            <w:tcW w:w="5437" w:type="dxa"/>
            <w:gridSpan w:val="2"/>
            <w:tcBorders>
              <w:top w:val="nil"/>
              <w:left w:val="nil"/>
              <w:bottom w:val="nil"/>
              <w:right w:val="nil"/>
            </w:tcBorders>
            <w:shd w:val="clear" w:fill="dce6f1"/>
            <w:vAlign w:val="top"/>
          </w:tcPr>
          <w:p>
            <w:pPr>
              <w:tabs>
                <w:tab w:val="center" w:pos="404"/>
                <w:tab w:val="center" w:pos="2190"/>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6"/>
              </w:rPr>
              <w:t xml:space="preserve">2.1.6.	</w:t>
            </w:r>
            <w:r>
              <w:rPr>
                <w:rFonts w:cs="Calibri" w:hAnsi="Calibri" w:eastAsia="Calibri" w:ascii="Calibri"/>
                <w:b w:val="1"/>
                <w:sz w:val="16"/>
              </w:rPr>
              <w:t xml:space="preserve">Long7Term%Technical%Assistance%(LTTA)</w:t>
            </w:r>
          </w:p>
        </w:tc>
        <w:tc>
          <w:tcPr>
            <w:tcW w:w="2178"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204" w:type="dxa"/>
            <w:gridSpan w:val="2"/>
            <w:tcBorders>
              <w:top w:val="nil"/>
              <w:left w:val="nil"/>
              <w:bottom w:val="nil"/>
              <w:right w:val="nil"/>
            </w:tcBorders>
            <w:shd w:val="clear" w:fill="dce6f1"/>
            <w:vAlign w:val="top"/>
          </w:tcPr>
          <w:p>
            <w:pPr>
              <w:bidi w:val="0"/>
              <w:spacing w:before="0" w:after="160" w:line="259" w:lineRule="auto"/>
              <w:ind w:left="0" w:right="0" w:firstLine="0"/>
              <w:jc w:val="left"/>
            </w:pPr>
          </w:p>
        </w:tc>
        <w:tc>
          <w:tcPr>
            <w:tcW w:w="996"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665" w:type="dxa"/>
            <w:gridSpan w:val="2"/>
            <w:tcBorders>
              <w:top w:val="nil"/>
              <w:left w:val="nil"/>
              <w:bottom w:val="nil"/>
              <w:right w:val="nil"/>
            </w:tcBorders>
            <w:shd w:val="clear" w:fill="dce6f1"/>
            <w:vAlign w:val="top"/>
          </w:tcPr>
          <w:p>
            <w:pPr>
              <w:bidi w:val="0"/>
              <w:spacing w:before="0" w:after="160" w:line="259" w:lineRule="auto"/>
              <w:ind w:left="0" w:right="0" w:firstLine="0"/>
              <w:jc w:val="left"/>
            </w:pPr>
          </w:p>
        </w:tc>
        <w:tc>
          <w:tcPr>
            <w:tcW w:w="867" w:type="dxa"/>
            <w:gridSpan w:val="2"/>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634" w:hRule="atLeast"/>
        </w:trPr>
        <w:tc>
          <w:tcPr>
            <w:tcW w:w="5437" w:type="dxa"/>
            <w:gridSpan w:val="2"/>
            <w:vMerge w:val="restart"/>
            <w:tcBorders>
              <w:top w:val="nil"/>
              <w:left w:val="nil"/>
              <w:bottom w:val="single" w:sz="11" w:color="000000"/>
              <w:right w:val="nil"/>
            </w:tcBorders>
            <w:vAlign w:val="top"/>
          </w:tcPr>
          <w:p>
            <w:pPr>
              <w:spacing w:before="0" w:after="0" w:line="259" w:lineRule="auto"/>
              <w:ind w:left="79" w:right="0" w:firstLine="0"/>
              <w:jc w:val="left"/>
            </w:pPr>
            <w:r>
              <w:rPr>
                <w:rFonts w:cs="Calibri" w:hAnsi="Calibri" w:eastAsia="Calibri" w:ascii="Calibri"/>
                <w:sz w:val="16"/>
              </w:rPr>
              <w:t xml:space="preserve">A.**Chief*Technical*Advisor*(P5)</w:t>
            </w:r>
          </w:p>
          <w:p>
            <w:pPr>
              <w:spacing w:before="0" w:after="0" w:line="259" w:lineRule="auto"/>
              <w:ind w:left="79" w:right="0" w:firstLine="0"/>
              <w:jc w:val="left"/>
            </w:pPr>
            <w:r>
              <w:rPr>
                <w:rFonts w:cs="Calibri" w:hAnsi="Calibri" w:eastAsia="Calibri" w:ascii="Calibri"/>
                <w:sz w:val="16"/>
              </w:rPr>
              <w:t xml:space="preserve">B.**Monitoring*&amp;*Evaluation*Specialist*(P4)</w:t>
            </w:r>
          </w:p>
          <w:p>
            <w:pPr>
              <w:spacing w:before="0" w:after="0" w:line="259" w:lineRule="auto"/>
              <w:ind w:left="79" w:right="0" w:firstLine="0"/>
              <w:jc w:val="left"/>
            </w:pPr>
            <w:r>
              <w:rPr>
                <w:rFonts w:cs="Calibri" w:hAnsi="Calibri" w:eastAsia="Calibri" w:ascii="Calibri"/>
                <w:sz w:val="16"/>
              </w:rPr>
              <w:t xml:space="preserve">C.**Senior*Governance*Advisor*(P5)</w:t>
            </w:r>
          </w:p>
        </w:tc>
        <w:tc>
          <w:tcPr>
            <w:tcW w:w="2178" w:type="dxa"/>
            <w:vMerge w:val="restart"/>
            <w:tcBorders>
              <w:top w:val="nil"/>
              <w:left w:val="nil"/>
              <w:bottom w:val="single" w:sz="11" w:color="000000"/>
              <w:right w:val="nil"/>
            </w:tcBorders>
            <w:vAlign w:val="top"/>
          </w:tcPr>
          <w:p>
            <w:pPr>
              <w:spacing w:before="0" w:after="0" w:line="259" w:lineRule="auto"/>
              <w:ind w:left="0" w:right="0" w:firstLine="0"/>
              <w:jc w:val="left"/>
            </w:pPr>
            <w:r>
              <w:rPr>
                <w:rFonts w:cs="Calibri" w:hAnsi="Calibri" w:eastAsia="Calibri" w:ascii="Calibri"/>
                <w:sz w:val="16"/>
              </w:rPr>
              <w:t xml:space="preserve">(30%*of*12*months)</w:t>
            </w:r>
          </w:p>
          <w:p>
            <w:pPr>
              <w:spacing w:before="0" w:after="0" w:line="259" w:lineRule="auto"/>
              <w:ind w:left="0" w:right="0" w:firstLine="0"/>
              <w:jc w:val="left"/>
            </w:pPr>
            <w:r>
              <w:rPr>
                <w:rFonts w:cs="Calibri" w:hAnsi="Calibri" w:eastAsia="Calibri" w:ascii="Calibri"/>
                <w:sz w:val="16"/>
              </w:rPr>
              <w:t xml:space="preserve">(20%*of*10*months)</w:t>
            </w:r>
          </w:p>
          <w:p>
            <w:pPr>
              <w:spacing w:before="0" w:after="0" w:line="259" w:lineRule="auto"/>
              <w:ind w:left="0" w:right="0" w:firstLine="0"/>
              <w:jc w:val="left"/>
            </w:pPr>
            <w:r>
              <w:rPr>
                <w:rFonts w:cs="Calibri" w:hAnsi="Calibri" w:eastAsia="Calibri" w:ascii="Calibri"/>
                <w:sz w:val="16"/>
              </w:rPr>
              <w:t xml:space="preserve">(10%*of*12*months)</w:t>
            </w:r>
          </w:p>
        </w:tc>
        <w:tc>
          <w:tcPr>
            <w:tcW w:w="1204" w:type="dxa"/>
            <w:gridSpan w:val="2"/>
            <w:tcBorders>
              <w:top w:val="nil"/>
              <w:left w:val="nil"/>
              <w:bottom w:val="double" w:sz="6" w:color="000000"/>
              <w:right w:val="nil"/>
            </w:tcBorders>
            <w:vAlign w:val="top"/>
          </w:tcPr>
          <w:p>
            <w:pPr>
              <w:spacing w:before="0" w:after="0" w:line="259" w:lineRule="auto"/>
              <w:ind w:left="0" w:right="0" w:firstLine="0"/>
              <w:jc w:val="left"/>
            </w:pPr>
            <w:r>
              <w:rPr>
                <w:rFonts w:cs="Calibri" w:hAnsi="Calibri" w:eastAsia="Calibri" w:ascii="Calibri"/>
                <w:sz w:val="16"/>
              </w:rPr>
              <w:t xml:space="preserve">Months</w:t>
            </w:r>
          </w:p>
          <w:p>
            <w:pPr>
              <w:spacing w:before="0" w:after="0" w:line="259" w:lineRule="auto"/>
              <w:ind w:left="0" w:right="0" w:firstLine="0"/>
              <w:jc w:val="left"/>
            </w:pPr>
            <w:r>
              <w:rPr>
                <w:rFonts w:cs="Calibri" w:hAnsi="Calibri" w:eastAsia="Calibri" w:ascii="Calibri"/>
                <w:sz w:val="16"/>
              </w:rPr>
              <w:t xml:space="preserve">Months</w:t>
            </w:r>
          </w:p>
          <w:p>
            <w:pPr>
              <w:spacing w:before="0" w:after="0" w:line="259" w:lineRule="auto"/>
              <w:ind w:left="0" w:right="0" w:firstLine="0"/>
              <w:jc w:val="left"/>
            </w:pPr>
            <w:r>
              <w:rPr>
                <w:rFonts w:cs="Calibri" w:hAnsi="Calibri" w:eastAsia="Calibri" w:ascii="Calibri"/>
                <w:sz w:val="16"/>
              </w:rPr>
              <w:t xml:space="preserve">Months</w:t>
            </w:r>
          </w:p>
        </w:tc>
        <w:tc>
          <w:tcPr>
            <w:tcW w:w="996" w:type="dxa"/>
            <w:tcBorders>
              <w:top w:val="nil"/>
              <w:left w:val="nil"/>
              <w:bottom w:val="double" w:sz="6" w:color="000000"/>
              <w:right w:val="nil"/>
            </w:tcBorders>
            <w:vAlign w:val="top"/>
          </w:tcPr>
          <w:p>
            <w:pPr>
              <w:spacing w:before="0" w:after="0" w:line="248" w:lineRule="auto"/>
              <w:ind w:left="53" w:right="714" w:hanging="64"/>
              <w:jc w:val="left"/>
            </w:pPr>
            <w:r>
              <w:rPr>
                <w:rFonts w:cs="Calibri" w:hAnsi="Calibri" w:eastAsia="Calibri" w:ascii="Calibri"/>
                <w:sz w:val="16"/>
              </w:rPr>
              <w:t xml:space="preserve">3.6 2</w:t>
            </w:r>
          </w:p>
          <w:p>
            <w:pPr>
              <w:spacing w:before="0" w:after="0" w:line="259" w:lineRule="auto"/>
              <w:ind w:left="-11" w:right="0" w:firstLine="0"/>
              <w:jc w:val="left"/>
            </w:pPr>
            <w:r>
              <w:rPr>
                <w:rFonts w:cs="Calibri" w:hAnsi="Calibri" w:eastAsia="Calibri" w:ascii="Calibri"/>
                <w:sz w:val="16"/>
              </w:rPr>
              <w:t xml:space="preserve">1.2</w:t>
            </w:r>
          </w:p>
        </w:tc>
        <w:tc>
          <w:tcPr>
            <w:tcW w:w="1665" w:type="dxa"/>
            <w:gridSpan w:val="2"/>
            <w:tcBorders>
              <w:top w:val="nil"/>
              <w:left w:val="nil"/>
              <w:bottom w:val="double" w:sz="6" w:color="000000"/>
              <w:right w:val="nil"/>
            </w:tcBorders>
            <w:vAlign w:val="top"/>
          </w:tcPr>
          <w:p>
            <w:pPr>
              <w:spacing w:before="0" w:after="0" w:line="259" w:lineRule="auto"/>
              <w:ind w:left="0" w:right="0" w:firstLine="0"/>
              <w:jc w:val="left"/>
            </w:pPr>
            <w:r>
              <w:rPr>
                <w:rFonts w:cs="Calibri" w:hAnsi="Calibri" w:eastAsia="Calibri" w:ascii="Calibri"/>
                <w:sz w:val="16"/>
              </w:rPr>
              <w:t xml:space="preserve">$21,517.24</w:t>
            </w:r>
          </w:p>
          <w:p>
            <w:pPr>
              <w:spacing w:before="0" w:after="0" w:line="259" w:lineRule="auto"/>
              <w:ind w:left="0" w:right="0" w:firstLine="0"/>
              <w:jc w:val="left"/>
            </w:pPr>
            <w:r>
              <w:rPr>
                <w:rFonts w:cs="Calibri" w:hAnsi="Calibri" w:eastAsia="Calibri" w:ascii="Calibri"/>
                <w:sz w:val="16"/>
              </w:rPr>
              <w:t xml:space="preserve">$18,666.47</w:t>
            </w:r>
          </w:p>
          <w:p>
            <w:pPr>
              <w:spacing w:before="0" w:after="0" w:line="259" w:lineRule="auto"/>
              <w:ind w:left="0" w:right="0" w:firstLine="0"/>
              <w:jc w:val="left"/>
            </w:pPr>
            <w:r>
              <w:rPr>
                <w:rFonts w:cs="Calibri" w:hAnsi="Calibri" w:eastAsia="Calibri" w:ascii="Calibri"/>
                <w:sz w:val="16"/>
              </w:rPr>
              <w:t xml:space="preserve">$21,517.24</w:t>
            </w:r>
          </w:p>
        </w:tc>
        <w:tc>
          <w:tcPr>
            <w:tcW w:w="867" w:type="dxa"/>
            <w:gridSpan w:val="2"/>
            <w:tcBorders>
              <w:top w:val="nil"/>
              <w:left w:val="nil"/>
              <w:bottom w:val="double" w:sz="6" w:color="000000"/>
              <w:right w:val="nil"/>
            </w:tcBorders>
            <w:vAlign w:val="top"/>
          </w:tcPr>
          <w:p>
            <w:pPr>
              <w:spacing w:before="0" w:after="0" w:line="259" w:lineRule="auto"/>
              <w:ind w:left="90" w:right="0" w:firstLine="0"/>
              <w:jc w:val="left"/>
            </w:pPr>
            <w:r>
              <w:rPr>
                <w:rFonts w:cs="Calibri" w:hAnsi="Calibri" w:eastAsia="Calibri" w:ascii="Calibri"/>
                <w:sz w:val="16"/>
              </w:rPr>
              <w:t xml:space="preserve">$77,462.06</w:t>
            </w:r>
          </w:p>
          <w:p>
            <w:pPr>
              <w:spacing w:before="0" w:after="0" w:line="259" w:lineRule="auto"/>
              <w:ind w:left="90" w:right="0" w:firstLine="0"/>
              <w:jc w:val="left"/>
            </w:pPr>
            <w:r>
              <w:rPr>
                <w:rFonts w:cs="Calibri" w:hAnsi="Calibri" w:eastAsia="Calibri" w:ascii="Calibri"/>
                <w:sz w:val="16"/>
              </w:rPr>
              <w:t xml:space="preserve">$37,332.94</w:t>
            </w:r>
          </w:p>
          <w:p>
            <w:pPr>
              <w:spacing w:before="0" w:after="0" w:line="259" w:lineRule="auto"/>
              <w:ind w:left="90" w:right="0" w:firstLine="0"/>
              <w:jc w:val="left"/>
            </w:pPr>
            <w:r>
              <w:rPr>
                <w:rFonts w:cs="Calibri" w:hAnsi="Calibri" w:eastAsia="Calibri" w:ascii="Calibri"/>
                <w:sz w:val="16"/>
              </w:rPr>
              <w:t xml:space="preserve">$25,820.69</w:t>
            </w:r>
          </w:p>
        </w:tc>
      </w:tr>
      <w:tr>
        <w:trPr>
          <w:trHeight w:val="236" w:hRule="atLeast"/>
        </w:trPr>
        <w:tc>
          <w:tcPr>
            <w:gridSpan w:val="2"/>
            <w:vMerge w:val="continue"/>
            <w:tcBorders>
              <w:top w:val="nil"/>
              <w:left w:val="nil"/>
              <w:bottom w:val="single" w:sz="11" w:color="000000"/>
              <w:right w:val="nil"/>
            </w:tcBorders>
            <w:vAlign w:val="top"/>
          </w:tcPr>
          <w:p>
            <w:pPr>
              <w:bidi w:val="0"/>
              <w:spacing w:before="0" w:after="160" w:line="259" w:lineRule="auto"/>
              <w:ind w:left="0" w:right="0" w:firstLine="0"/>
              <w:jc w:val="left"/>
            </w:pPr>
          </w:p>
        </w:tc>
        <w:tc>
          <w:tcPr>
            <w:vMerge w:val="continue"/>
            <w:tcBorders>
              <w:top w:val="nil"/>
              <w:left w:val="nil"/>
              <w:bottom w:val="single" w:sz="11" w:color="000000"/>
              <w:right w:val="nil"/>
            </w:tcBorders>
            <w:vAlign w:val="top"/>
          </w:tcPr>
          <w:p>
            <w:pPr>
              <w:bidi w:val="0"/>
              <w:spacing w:before="0" w:after="160" w:line="259" w:lineRule="auto"/>
              <w:ind w:left="0" w:right="0" w:firstLine="0"/>
              <w:jc w:val="left"/>
            </w:pPr>
          </w:p>
        </w:tc>
        <w:tc>
          <w:tcPr>
            <w:tcW w:w="1204" w:type="dxa"/>
            <w:gridSpan w:val="2"/>
            <w:tcBorders>
              <w:top w:val="double" w:sz="6" w:color="000000"/>
              <w:left w:val="nil"/>
              <w:bottom w:val="single" w:sz="11" w:color="000000"/>
              <w:right w:val="nil"/>
            </w:tcBorders>
            <w:vAlign w:val="top"/>
          </w:tcPr>
          <w:p>
            <w:pPr>
              <w:bidi w:val="0"/>
              <w:spacing w:before="0" w:after="160" w:line="259" w:lineRule="auto"/>
              <w:ind w:left="0" w:right="0" w:firstLine="0"/>
              <w:jc w:val="left"/>
            </w:pPr>
          </w:p>
        </w:tc>
        <w:tc>
          <w:tcPr>
            <w:tcW w:w="996" w:type="dxa"/>
            <w:tcBorders>
              <w:top w:val="double" w:sz="6" w:color="000000"/>
              <w:left w:val="nil"/>
              <w:bottom w:val="single" w:sz="11" w:color="000000"/>
              <w:right w:val="nil"/>
            </w:tcBorders>
            <w:vAlign w:val="top"/>
          </w:tcPr>
          <w:p>
            <w:pPr>
              <w:bidi w:val="0"/>
              <w:spacing w:before="0" w:after="160" w:line="259" w:lineRule="auto"/>
              <w:ind w:left="0" w:right="0" w:firstLine="0"/>
              <w:jc w:val="left"/>
            </w:pPr>
          </w:p>
        </w:tc>
        <w:tc>
          <w:tcPr>
            <w:tcW w:w="1665" w:type="dxa"/>
            <w:gridSpan w:val="2"/>
            <w:tcBorders>
              <w:top w:val="double" w:sz="6" w:color="000000"/>
              <w:left w:val="nil"/>
              <w:bottom w:val="single" w:sz="11" w:color="000000"/>
              <w:right w:val="nil"/>
            </w:tcBorders>
            <w:vAlign w:val="top"/>
          </w:tcPr>
          <w:p>
            <w:pPr>
              <w:spacing w:before="0" w:after="0" w:line="259" w:lineRule="auto"/>
              <w:ind w:left="205" w:right="0" w:firstLine="0"/>
              <w:jc w:val="left"/>
            </w:pPr>
            <w:r>
              <w:rPr>
                <w:rFonts w:cs="Calibri" w:hAnsi="Calibri" w:eastAsia="Calibri" w:ascii="Calibri"/>
                <w:b w:val="1"/>
                <w:sz w:val="16"/>
              </w:rPr>
              <w:t xml:space="preserve">SUBTOTAL:</w:t>
            </w:r>
          </w:p>
        </w:tc>
        <w:tc>
          <w:tcPr>
            <w:tcW w:w="867" w:type="dxa"/>
            <w:gridSpan w:val="2"/>
            <w:tcBorders>
              <w:top w:val="double" w:sz="6" w:color="000000"/>
              <w:left w:val="nil"/>
              <w:bottom w:val="single" w:sz="11" w:color="000000"/>
              <w:right w:val="nil"/>
            </w:tcBorders>
            <w:vAlign w:val="top"/>
          </w:tcPr>
          <w:p>
            <w:pPr>
              <w:spacing w:before="0" w:after="0" w:line="259" w:lineRule="auto"/>
              <w:ind w:left="0" w:right="0" w:firstLine="0"/>
            </w:pPr>
            <w:r>
              <w:rPr>
                <w:rFonts w:cs="Calibri" w:hAnsi="Calibri" w:eastAsia="Calibri" w:ascii="Calibri"/>
                <w:b w:val="1"/>
                <w:sz w:val="16"/>
              </w:rPr>
              <w:t xml:space="preserve">$140,615.69</w:t>
            </w:r>
          </w:p>
        </w:tc>
      </w:tr>
      <w:tr>
        <w:trPr>
          <w:trHeight w:val="222" w:hRule="atLeast"/>
        </w:trPr>
        <w:tc>
          <w:tcPr>
            <w:tcW w:w="11479" w:type="dxa"/>
            <w:gridSpan w:val="8"/>
            <w:tcBorders>
              <w:top w:val="single" w:sz="11" w:color="000000"/>
              <w:left w:val="single" w:sz="11" w:color="000000"/>
              <w:bottom w:val="single" w:sz="11" w:color="000000"/>
              <w:right w:val="nil"/>
            </w:tcBorders>
            <w:shd w:val="clear" w:fill="f3dcda"/>
            <w:vAlign w:val="top"/>
          </w:tcPr>
          <w:p>
            <w:pPr>
              <w:spacing w:before="0" w:after="0" w:line="259" w:lineRule="auto"/>
              <w:ind w:left="0" w:right="690" w:firstLine="0"/>
              <w:jc w:val="right"/>
            </w:pPr>
            <w:r>
              <w:rPr>
                <w:rFonts w:cs="Calibri" w:hAnsi="Calibri" w:eastAsia="Calibri" w:ascii="Calibri"/>
                <w:b w:val="1"/>
                <w:sz w:val="16"/>
              </w:rPr>
              <w:t xml:space="preserve">TOTAL%ESTIMATED%COMPONENT/OUTPUT%COSTS%201372014:</w:t>
            </w:r>
          </w:p>
        </w:tc>
        <w:tc>
          <w:tcPr>
            <w:tcW w:w="867" w:type="dxa"/>
            <w:gridSpan w:val="2"/>
            <w:tcBorders>
              <w:top w:val="single" w:sz="11" w:color="000000"/>
              <w:left w:val="nil"/>
              <w:bottom w:val="single" w:sz="11" w:color="000000"/>
              <w:right w:val="single" w:sz="11" w:color="000000"/>
            </w:tcBorders>
            <w:shd w:val="clear" w:fill="f3dcda"/>
            <w:vAlign w:val="top"/>
          </w:tcPr>
          <w:p>
            <w:pPr>
              <w:spacing w:before="0" w:after="0" w:line="259" w:lineRule="auto"/>
              <w:ind w:left="0" w:right="0" w:firstLine="0"/>
            </w:pPr>
            <w:r>
              <w:rPr>
                <w:rFonts w:cs="Calibri" w:hAnsi="Calibri" w:eastAsia="Calibri" w:ascii="Calibri"/>
                <w:b w:val="1"/>
                <w:sz w:val="16"/>
              </w:rPr>
              <w:t xml:space="preserve">$365,123.69</w:t>
            </w:r>
          </w:p>
        </w:tc>
      </w:tr>
    </w:tbl>
    <w:p>
      <w:pPr>
        <w:tabs>
          <w:tab w:val="center" w:pos="6169"/>
          <w:tab w:val="center" w:pos="12082"/>
        </w:tabs>
        <w:spacing w:before="0" w:after="152" w:line="259" w:lineRule="auto"/>
        <w:ind w:left="0" w:right="0" w:firstLine="0"/>
        <w:jc w:val="left"/>
      </w:pPr>
      <w:r>
        <w:rPr>
          <w:rFonts w:cs="Calibri" w:hAnsi="Calibri" w:eastAsia="Calibri" w:ascii="Calibri"/>
          <w:sz w:val="22"/>
        </w:rPr>
        <w:t xml:space="preserve">	</w:t>
      </w:r>
      <w:r>
        <w:rPr>
          <w:rFonts w:cs="Calibri" w:hAnsi="Calibri" w:eastAsia="Calibri" w:ascii="Calibri"/>
          <w:sz w:val="16"/>
        </w:rPr>
        <w:t xml:space="preserve">2*OF*2	</w:t>
      </w:r>
      <w:r>
        <w:rPr>
          <w:rFonts w:cs="Calibri" w:hAnsi="Calibri" w:eastAsia="Calibri" w:ascii="Calibri"/>
          <w:sz w:val="16"/>
        </w:rPr>
        <w:t xml:space="preserve">7/1/13</w:t>
      </w:r>
    </w:p>
    <w:p>
      <w:pPr>
        <w:pStyle w:val="heading5"/>
        <w:spacing w:before="0" w:after="347" w:line="259" w:lineRule="auto"/>
        <w:ind w:left="0" w:right="150" w:firstLine="0"/>
        <w:jc w:val="center"/>
      </w:pPr>
      <w:r>
        <w:rPr>
          <w:rFonts w:cs="Calibri" w:hAnsi="Calibri" w:eastAsia="Calibri" w:ascii="Calibri"/>
          <w:b w:val="0"/>
          <w:i w:val="0"/>
          <w:sz w:val="18"/>
        </w:rPr>
        <w:t xml:space="preserve">DEMOCRATIC*EMPOWERMENT*PROJECT*WORK*PLAN*BUDGET*2013*8*2014</w:t>
      </w:r>
    </w:p>
    <w:p>
      <w:pPr>
        <w:shd w:val="clear" w:color="auto" w:fill="eaf1dd"/>
        <w:spacing w:before="0" w:after="0" w:line="259" w:lineRule="auto"/>
        <w:ind w:left="57" w:right="0" w:firstLine="0"/>
        <w:jc w:val="left"/>
      </w:pPr>
      <w:r>
        <w:rPr>
          <w:rFonts w:cs="Calibri" w:hAnsi="Calibri" w:eastAsia="Calibri" w:ascii="Calibri"/>
          <w:b w:val="1"/>
          <w:sz w:val="18"/>
        </w:rPr>
        <w:t xml:space="preserve">COMPONENT%2:%%SUPPORT%IMPROVEMENT%OF%EMB%INTEGRITY%AND%MANAGEMENT%CAPACITIES%</w:t>
      </w:r>
    </w:p>
    <w:tbl>
      <w:tblPr>
        <w:tblStyle w:val="TableGrid"/>
        <w:tblW w:w="12393" w:type="dxa"/>
        <w:tblInd w:w="-28" w:type="dxa"/>
        <w:tblCellMar>
          <w:top w:w="0" w:type="dxa"/>
          <w:left w:w="0" w:type="dxa"/>
          <w:bottom w:w="0" w:type="dxa"/>
          <w:right w:w="0" w:type="dxa"/>
        </w:tblCellMar>
      </w:tblPr>
      <w:tblGrid>
        <w:gridCol w:w="879"/>
        <w:gridCol w:w="11514"/>
      </w:tblGrid>
      <w:tr>
        <w:trPr>
          <w:trHeight w:val="227" w:hRule="atLeast"/>
        </w:trPr>
        <w:tc>
          <w:tcPr>
            <w:tcW w:w="879" w:type="dxa"/>
            <w:tcBorders>
              <w:top w:val="nil"/>
              <w:left w:val="nil"/>
              <w:bottom w:val="nil"/>
              <w:right w:val="nil"/>
            </w:tcBorders>
            <w:shd w:val="clear" w:fill="f3dcda"/>
            <w:vAlign w:val="top"/>
          </w:tcPr>
          <w:p>
            <w:pPr>
              <w:spacing w:before="0" w:after="0" w:line="259" w:lineRule="auto"/>
              <w:ind w:left="31" w:right="0" w:firstLine="0"/>
              <w:jc w:val="left"/>
            </w:pPr>
            <w:r>
              <w:rPr>
                <w:rFonts w:cs="Calibri" w:hAnsi="Calibri" w:eastAsia="Calibri" w:ascii="Calibri"/>
                <w:b w:val="1"/>
                <w:sz w:val="18"/>
              </w:rPr>
              <w:t xml:space="preserve">Output%2:</w:t>
            </w:r>
          </w:p>
        </w:tc>
        <w:tc>
          <w:tcPr>
            <w:tcW w:w="11514" w:type="dxa"/>
            <w:tcBorders>
              <w:top w:val="nil"/>
              <w:left w:val="nil"/>
              <w:bottom w:val="nil"/>
              <w:right w:val="nil"/>
            </w:tcBorders>
            <w:shd w:val="clear" w:fill="f3dcda"/>
            <w:vAlign w:val="top"/>
          </w:tcPr>
          <w:p>
            <w:pPr>
              <w:spacing w:before="0" w:after="0" w:line="259" w:lineRule="auto"/>
              <w:ind w:left="0" w:right="0" w:firstLine="0"/>
              <w:jc w:val="left"/>
            </w:pPr>
            <w:r>
              <w:rPr>
                <w:rFonts w:cs="Calibri" w:hAnsi="Calibri" w:eastAsia="Calibri" w:ascii="Calibri"/>
                <w:b w:val="1"/>
                <w:sz w:val="18"/>
              </w:rPr>
              <w:t xml:space="preserve">EMB%capacity%to%use%ICT%enhanced</w:t>
            </w:r>
          </w:p>
        </w:tc>
      </w:tr>
    </w:tbl>
    <w:tbl>
      <w:tblPr>
        <w:tblStyle w:val="TableGrid"/>
        <w:tblW w:w="12393" w:type="dxa"/>
        <w:tblInd w:w="-28" w:type="dxa"/>
        <w:tblCellMar>
          <w:top w:w="0" w:type="dxa"/>
          <w:left w:w="0" w:type="dxa"/>
          <w:bottom w:w="0" w:type="dxa"/>
          <w:right w:w="0" w:type="dxa"/>
        </w:tblCellMar>
      </w:tblPr>
      <w:tblGrid>
        <w:gridCol w:w="5123"/>
        <w:gridCol w:w="3088"/>
        <w:gridCol w:w="980"/>
        <w:gridCol w:w="687"/>
        <w:gridCol w:w="1582"/>
        <w:gridCol w:w="933"/>
      </w:tblGrid>
      <w:tr>
        <w:trPr>
          <w:trHeight w:val="449" w:hRule="atLeast"/>
        </w:trPr>
        <w:tc>
          <w:tcPr>
            <w:tcW w:w="8211" w:type="dxa"/>
            <w:gridSpan w:val="2"/>
            <w:tcBorders>
              <w:top w:val="nil"/>
              <w:left w:val="nil"/>
              <w:bottom w:val="nil"/>
              <w:right w:val="nil"/>
            </w:tcBorders>
            <w:shd w:val="clear" w:fill="dce6f1"/>
            <w:vAlign w:val="top"/>
          </w:tcPr>
          <w:p>
            <w:pPr>
              <w:spacing w:before="0" w:after="0" w:line="259" w:lineRule="auto"/>
              <w:ind w:left="879" w:right="-3373" w:firstLine="0"/>
              <w:jc w:val="left"/>
            </w:pPr>
            <w:r>
              <w:rPr>
                <w:rFonts w:cs="Calibri" w:hAnsi="Calibri" w:eastAsia="Calibri" w:ascii="Calibri"/>
                <w:b w:val="1"/>
                <w:sz w:val="18"/>
              </w:rPr>
              <w:t xml:space="preserve">%Support%the%two%EMBs%to%improve%their%ICT%management%capabilities%in%areas%such%as%voter%registration%systems,%election%results%compilation%and%</w:t>
            </w:r>
          </w:p>
          <w:p>
            <w:pPr>
              <w:spacing w:before="0" w:after="0" w:line="259" w:lineRule="auto"/>
              <w:ind w:left="881" w:right="2910" w:hanging="653"/>
              <w:jc w:val="left"/>
            </w:pPr>
            <w:r>
              <w:rPr>
                <w:rFonts w:cs="Calibri" w:hAnsi="Calibri" w:eastAsia="Calibri" w:ascii="Calibri"/>
                <w:b w:val="1"/>
                <w:sz w:val="18"/>
              </w:rPr>
              <w:t xml:space="preserve">2.2.1. </w:t>
            </w:r>
            <w:r>
              <w:rPr>
                <w:rFonts w:cs="Calibri" w:hAnsi="Calibri" w:eastAsia="Calibri" w:ascii="Calibri"/>
                <w:b w:val="1"/>
                <w:sz w:val="18"/>
              </w:rPr>
              <w:t xml:space="preserve">transmission,%and%general%information%management%system%</w:t>
            </w:r>
          </w:p>
        </w:tc>
        <w:tc>
          <w:tcPr>
            <w:tcW w:w="980"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687"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58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933" w:type="dxa"/>
            <w:tcBorders>
              <w:top w:val="nil"/>
              <w:left w:val="nil"/>
              <w:bottom w:val="nil"/>
              <w:right w:val="nil"/>
            </w:tcBorders>
            <w:shd w:val="clear" w:fill="dce6f1"/>
            <w:vAlign w:val="center"/>
          </w:tcPr>
          <w:p>
            <w:pPr>
              <w:bidi w:val="0"/>
              <w:spacing w:before="0" w:after="160" w:line="259" w:lineRule="auto"/>
              <w:ind w:left="0" w:right="0" w:firstLine="0"/>
              <w:jc w:val="left"/>
            </w:pPr>
          </w:p>
        </w:tc>
      </w:tr>
      <w:tr>
        <w:trPr>
          <w:trHeight w:val="903" w:hRule="atLeast"/>
        </w:trPr>
        <w:tc>
          <w:tcPr>
            <w:tcW w:w="5123" w:type="dxa"/>
            <w:vMerge w:val="restart"/>
            <w:tcBorders>
              <w:top w:val="nil"/>
              <w:left w:val="nil"/>
              <w:bottom w:val="nil"/>
              <w:right w:val="nil"/>
            </w:tcBorders>
            <w:vAlign w:val="top"/>
          </w:tcPr>
          <w:p>
            <w:pPr>
              <w:spacing w:before="0" w:after="461" w:line="252" w:lineRule="auto"/>
              <w:ind w:left="29" w:right="0" w:firstLine="2"/>
              <w:jc w:val="left"/>
            </w:pPr>
            <w:r>
              <w:rPr>
                <w:rFonts w:cs="Calibri" w:hAnsi="Calibri" w:eastAsia="Calibri" w:ascii="Calibri"/>
                <w:sz w:val="18"/>
              </w:rPr>
              <w:t xml:space="preserve">*A.**Needs*assessment*of*MIS*capacity*of*both*EMBs.*With* recommendations*and*best*value*analysis*of*options*for*re8 design/development*of*RMS*and*candidate*databases*and* identification*of*other*needed*systems.*</w:t>
            </w:r>
          </w:p>
          <w:p>
            <w:pPr>
              <w:spacing w:before="0" w:after="246" w:line="252" w:lineRule="auto"/>
              <w:ind w:left="31" w:right="0" w:firstLine="0"/>
              <w:jc w:val="left"/>
            </w:pPr>
            <w:r>
              <w:rPr>
                <w:rFonts w:cs="Calibri" w:hAnsi="Calibri" w:eastAsia="Calibri" w:ascii="Calibri"/>
                <w:sz w:val="18"/>
              </w:rPr>
              <w:t xml:space="preserve">*B.**Procurement,*Installation*and*service*fees*for*WLAN*at*NEC*&amp;*ZEC* offices*for*12*months₠*</w:t>
            </w:r>
          </w:p>
          <w:p>
            <w:pPr>
              <w:spacing w:before="0" w:after="0" w:line="252" w:lineRule="auto"/>
              <w:ind w:left="32" w:right="0" w:hanging="1"/>
              <w:jc w:val="left"/>
            </w:pPr>
            <w:r>
              <w:rPr>
                <w:rFonts w:cs="Calibri" w:hAnsi="Calibri" w:eastAsia="Calibri" w:ascii="Calibri"/>
                <w:sz w:val="18"/>
              </w:rPr>
              <w:t xml:space="preserve">*C.**Procurement*of*basic*ICT*tools*to*enhance*the*ability*of*both* EMBs*to*deliver*their*mandate.₠*</w:t>
            </w:r>
          </w:p>
          <w:p>
            <w:pPr>
              <w:spacing w:before="0" w:after="2469" w:line="252" w:lineRule="auto"/>
              <w:ind w:left="32" w:right="0" w:hanging="1"/>
              <w:jc w:val="left"/>
            </w:pPr>
            <w:r>
              <w:rPr>
                <w:rFonts w:cs="Calibri" w:hAnsi="Calibri" w:eastAsia="Calibri" w:ascii="Calibri"/>
                <w:sz w:val="18"/>
              </w:rPr>
              <w:t xml:space="preserve">*D.**DEP*will*work*with*EMB*staff*to*improve*their*abitlities*to*use*and* care*for*the*hardware*and*software*provided.*</w:t>
            </w:r>
          </w:p>
          <w:p>
            <w:pPr>
              <w:spacing w:before="0" w:after="915" w:line="259" w:lineRule="auto"/>
              <w:ind w:left="84" w:right="0" w:firstLine="0"/>
              <w:jc w:val="left"/>
            </w:pPr>
            <w:r>
              <w:rPr>
                <w:rFonts w:cs="Calibri" w:hAnsi="Calibri" w:eastAsia="Calibri" w:ascii="Calibri"/>
                <w:sz w:val="18"/>
              </w:rPr>
              <w:t xml:space="preserve">e.**Website*design*&amp;*hosting*for*12*months*for*each*EMB₠</w:t>
            </w:r>
          </w:p>
          <w:p>
            <w:pPr>
              <w:spacing w:before="0" w:after="0" w:line="259" w:lineRule="auto"/>
              <w:ind w:left="30" w:right="0" w:firstLine="1"/>
              <w:jc w:val="left"/>
            </w:pPr>
            <w:r>
              <w:rPr>
                <w:rFonts w:cs="Calibri" w:hAnsi="Calibri" w:eastAsia="Calibri" w:ascii="Calibri"/>
                <w:sz w:val="18"/>
              </w:rPr>
              <w:t xml:space="preserve">F.**Letter*of*Agreement*with*ZEC:**The*overall*objective*of*this* initiative*is*to*promote*democratic*participation*through*timely* registration*of*voters*on*the*isles*of*Zanzibar.**ZEC*is*required*to* register*new*voters,*remove*deceased*voters*and*upgrade*its*system*</w:t>
            </w:r>
          </w:p>
        </w:tc>
        <w:tc>
          <w:tcPr>
            <w:tcW w:w="3088" w:type="dxa"/>
            <w:vMerge w:val="restart"/>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8"/>
              </w:rPr>
              <w:t xml:space="preserve">*Intl.*Consultant*8*Results*Transmission*</w:t>
            </w:r>
          </w:p>
          <w:p>
            <w:pPr>
              <w:spacing w:before="0" w:after="0" w:line="259" w:lineRule="auto"/>
              <w:ind w:left="2" w:right="0" w:firstLine="0"/>
              <w:jc w:val="left"/>
            </w:pPr>
            <w:r>
              <w:rPr>
                <w:rFonts w:cs="Calibri" w:hAnsi="Calibri" w:eastAsia="Calibri" w:ascii="Calibri"/>
                <w:sz w:val="18"/>
              </w:rPr>
              <w:t xml:space="preserve">Systems/ICT*</w:t>
            </w:r>
          </w:p>
          <w:p>
            <w:pPr>
              <w:spacing w:before="0" w:after="0" w:line="259" w:lineRule="auto"/>
              <w:ind w:left="54" w:right="0" w:firstLine="0"/>
              <w:jc w:val="left"/>
            </w:pPr>
            <w:r>
              <w:rPr>
                <w:rFonts w:cs="Calibri" w:hAnsi="Calibri" w:eastAsia="Calibri" w:ascii="Calibri"/>
                <w:sz w:val="18"/>
              </w:rPr>
              <w:t xml:space="preserve">Consultant*DSA</w:t>
            </w:r>
          </w:p>
          <w:p>
            <w:pPr>
              <w:spacing w:before="0" w:after="466" w:line="259" w:lineRule="auto"/>
              <w:ind w:left="54" w:right="0" w:firstLine="0"/>
              <w:jc w:val="left"/>
            </w:pPr>
            <w:r>
              <w:rPr>
                <w:rFonts w:cs="Calibri" w:hAnsi="Calibri" w:eastAsia="Calibri" w:ascii="Calibri"/>
                <w:sz w:val="18"/>
              </w:rPr>
              <w:t xml:space="preserve">Intl.*Consultant*8*Airfare</w:t>
            </w:r>
          </w:p>
          <w:p>
            <w:pPr>
              <w:spacing w:before="0" w:after="470" w:line="259" w:lineRule="auto"/>
              <w:ind w:left="54" w:right="0" w:firstLine="0"/>
              <w:jc w:val="left"/>
            </w:pPr>
            <w:r>
              <w:rPr>
                <w:rFonts w:cs="Calibri" w:hAnsi="Calibri" w:eastAsia="Calibri" w:ascii="Calibri"/>
                <w:sz w:val="18"/>
              </w:rPr>
              <w:t xml:space="preserve">Service*Contract</w:t>
            </w:r>
          </w:p>
          <w:p>
            <w:pPr>
              <w:spacing w:before="0" w:after="0" w:line="252" w:lineRule="auto"/>
              <w:ind w:left="2" w:right="0" w:hanging="2"/>
              <w:jc w:val="left"/>
            </w:pPr>
            <w:r>
              <w:rPr>
                <w:rFonts w:cs="Calibri" w:hAnsi="Calibri" w:eastAsia="Calibri" w:ascii="Calibri"/>
                <w:sz w:val="18"/>
              </w:rPr>
              <w:t xml:space="preserve">*Laptop*Computers*w/Docking*Station* (NEC)*</w:t>
            </w:r>
          </w:p>
          <w:p>
            <w:pPr>
              <w:spacing w:before="0" w:after="0" w:line="252" w:lineRule="auto"/>
              <w:ind w:left="0" w:right="0" w:firstLine="0"/>
              <w:jc w:val="left"/>
            </w:pPr>
            <w:r>
              <w:rPr>
                <w:rFonts w:cs="Calibri" w:hAnsi="Calibri" w:eastAsia="Calibri" w:ascii="Calibri"/>
                <w:sz w:val="18"/>
              </w:rPr>
              <w:t xml:space="preserve">*Laptop*Computers*w/mobility* accessories*(ZEC)*</w:t>
            </w:r>
          </w:p>
          <w:p>
            <w:pPr>
              <w:spacing w:before="0" w:after="0" w:line="259" w:lineRule="auto"/>
              <w:ind w:left="0" w:right="0" w:firstLine="0"/>
              <w:jc w:val="left"/>
            </w:pPr>
            <w:r>
              <w:rPr>
                <w:rFonts w:cs="Calibri" w:hAnsi="Calibri" w:eastAsia="Calibri" w:ascii="Calibri"/>
                <w:sz w:val="18"/>
              </w:rPr>
              <w:t xml:space="preserve">*Desktop*Computers*</w:t>
            </w:r>
          </w:p>
          <w:p>
            <w:pPr>
              <w:spacing w:before="0" w:after="0" w:line="259" w:lineRule="auto"/>
              <w:ind w:left="54" w:right="0" w:firstLine="0"/>
              <w:jc w:val="left"/>
            </w:pPr>
            <w:r>
              <w:rPr>
                <w:rFonts w:cs="Calibri" w:hAnsi="Calibri" w:eastAsia="Calibri" w:ascii="Calibri"/>
                <w:sz w:val="18"/>
              </w:rPr>
              <w:t xml:space="preserve">Networked*Color*Printers</w:t>
            </w:r>
          </w:p>
          <w:p>
            <w:pPr>
              <w:spacing w:before="0" w:after="0" w:line="259" w:lineRule="auto"/>
              <w:ind w:left="54" w:right="0" w:firstLine="0"/>
              <w:jc w:val="left"/>
            </w:pPr>
            <w:r>
              <w:rPr>
                <w:rFonts w:cs="Calibri" w:hAnsi="Calibri" w:eastAsia="Calibri" w:ascii="Calibri"/>
                <w:sz w:val="18"/>
              </w:rPr>
              <w:t xml:space="preserve">Multi8Function*Printers</w:t>
            </w:r>
          </w:p>
          <w:p>
            <w:pPr>
              <w:spacing w:before="0" w:after="0" w:line="259" w:lineRule="auto"/>
              <w:ind w:left="54" w:right="0" w:firstLine="0"/>
              <w:jc w:val="left"/>
            </w:pPr>
            <w:r>
              <w:rPr>
                <w:rFonts w:cs="Calibri" w:hAnsi="Calibri" w:eastAsia="Calibri" w:ascii="Calibri"/>
                <w:sz w:val="18"/>
              </w:rPr>
              <w:t xml:space="preserve">UPS*Units</w:t>
            </w:r>
          </w:p>
          <w:p>
            <w:pPr>
              <w:spacing w:before="0" w:after="0" w:line="259" w:lineRule="auto"/>
              <w:ind w:left="54" w:right="0" w:firstLine="0"/>
              <w:jc w:val="left"/>
            </w:pPr>
            <w:r>
              <w:rPr>
                <w:rFonts w:cs="Calibri" w:hAnsi="Calibri" w:eastAsia="Calibri" w:ascii="Calibri"/>
                <w:sz w:val="18"/>
              </w:rPr>
              <w:t xml:space="preserve">Paper*Shredder*(Heavy*Duty)</w:t>
            </w:r>
          </w:p>
          <w:p>
            <w:pPr>
              <w:spacing w:before="0" w:after="0" w:line="259" w:lineRule="auto"/>
              <w:ind w:left="54" w:right="0" w:firstLine="0"/>
              <w:jc w:val="left"/>
            </w:pPr>
            <w:r>
              <w:rPr>
                <w:rFonts w:cs="Calibri" w:hAnsi="Calibri" w:eastAsia="Calibri" w:ascii="Calibri"/>
                <w:sz w:val="18"/>
              </w:rPr>
              <w:t xml:space="preserve">Projector</w:t>
            </w:r>
          </w:p>
          <w:p>
            <w:pPr>
              <w:spacing w:before="0" w:after="0" w:line="259" w:lineRule="auto"/>
              <w:ind w:left="54" w:right="0" w:firstLine="0"/>
              <w:jc w:val="left"/>
            </w:pPr>
            <w:r>
              <w:rPr>
                <w:rFonts w:cs="Calibri" w:hAnsi="Calibri" w:eastAsia="Calibri" w:ascii="Calibri"/>
                <w:sz w:val="18"/>
              </w:rPr>
              <w:t xml:space="preserve">MS*Office*Professional</w:t>
            </w:r>
          </w:p>
          <w:p>
            <w:pPr>
              <w:spacing w:before="0" w:after="0" w:line="259" w:lineRule="auto"/>
              <w:ind w:left="54" w:right="0" w:firstLine="0"/>
              <w:jc w:val="left"/>
            </w:pPr>
            <w:r>
              <w:rPr>
                <w:rFonts w:cs="Calibri" w:hAnsi="Calibri" w:eastAsia="Calibri" w:ascii="Calibri"/>
                <w:sz w:val="18"/>
              </w:rPr>
              <w:t xml:space="preserve">MS*Office*Professional*Upgrades</w:t>
            </w:r>
          </w:p>
          <w:p>
            <w:pPr>
              <w:spacing w:before="0" w:after="466" w:line="259" w:lineRule="auto"/>
              <w:ind w:left="54" w:right="0" w:firstLine="0"/>
              <w:jc w:val="left"/>
            </w:pPr>
            <w:r>
              <w:rPr>
                <w:rFonts w:cs="Calibri" w:hAnsi="Calibri" w:eastAsia="Calibri" w:ascii="Calibri"/>
                <w:sz w:val="18"/>
              </w:rPr>
              <w:t xml:space="preserve">MS*Project</w:t>
            </w:r>
          </w:p>
          <w:p>
            <w:pPr>
              <w:spacing w:before="0" w:after="0" w:line="259" w:lineRule="auto"/>
              <w:ind w:left="54" w:right="0" w:firstLine="0"/>
              <w:jc w:val="left"/>
            </w:pPr>
            <w:r>
              <w:rPr>
                <w:rFonts w:cs="Calibri" w:hAnsi="Calibri" w:eastAsia="Calibri" w:ascii="Calibri"/>
                <w:sz w:val="18"/>
              </w:rPr>
              <w:t xml:space="preserve">Website*Design</w:t>
            </w:r>
          </w:p>
          <w:p>
            <w:pPr>
              <w:spacing w:before="0" w:after="0" w:line="259" w:lineRule="auto"/>
              <w:ind w:left="54" w:right="0" w:firstLine="0"/>
              <w:jc w:val="left"/>
            </w:pPr>
            <w:r>
              <w:rPr>
                <w:rFonts w:cs="Calibri" w:hAnsi="Calibri" w:eastAsia="Calibri" w:ascii="Calibri"/>
                <w:sz w:val="18"/>
              </w:rPr>
              <w:t xml:space="preserve">Website*Hosting</w:t>
            </w:r>
          </w:p>
          <w:p>
            <w:pPr>
              <w:spacing w:before="0" w:after="462" w:line="259" w:lineRule="auto"/>
              <w:ind w:left="54" w:right="0" w:firstLine="0"/>
              <w:jc w:val="left"/>
            </w:pPr>
            <w:r>
              <w:rPr>
                <w:rFonts w:cs="Calibri" w:hAnsi="Calibri" w:eastAsia="Calibri" w:ascii="Calibri"/>
                <w:sz w:val="18"/>
              </w:rPr>
              <w:t xml:space="preserve">Email*Hosting</w:t>
            </w:r>
          </w:p>
          <w:p>
            <w:pPr>
              <w:spacing w:before="0" w:after="0" w:line="252" w:lineRule="auto"/>
              <w:ind w:left="1" w:right="0" w:hanging="1"/>
              <w:jc w:val="left"/>
            </w:pPr>
            <w:r>
              <w:rPr>
                <w:rFonts w:cs="Calibri" w:hAnsi="Calibri" w:eastAsia="Calibri" w:ascii="Calibri"/>
                <w:sz w:val="18"/>
              </w:rPr>
              <w:t xml:space="preserve">*1.*Voter*Registration*System*upgraded* and*maintained*</w:t>
            </w:r>
          </w:p>
          <w:p>
            <w:pPr>
              <w:spacing w:before="0" w:after="0" w:line="259" w:lineRule="auto"/>
              <w:ind w:left="54" w:right="0" w:firstLine="0"/>
              <w:jc w:val="left"/>
            </w:pPr>
            <w:r>
              <w:rPr>
                <w:rFonts w:cs="Calibri" w:hAnsi="Calibri" w:eastAsia="Calibri" w:ascii="Calibri"/>
                <w:sz w:val="18"/>
              </w:rPr>
              <w:t xml:space="preserve">2.*Voters*rolls*updated</w:t>
            </w:r>
          </w:p>
          <w:p>
            <w:pPr>
              <w:spacing w:before="0" w:after="0" w:line="259" w:lineRule="auto"/>
              <w:ind w:left="54" w:right="0" w:firstLine="0"/>
              <w:jc w:val="left"/>
            </w:pPr>
            <w:r>
              <w:rPr>
                <w:rFonts w:cs="Calibri" w:hAnsi="Calibri" w:eastAsia="Calibri" w:ascii="Calibri"/>
                <w:sz w:val="18"/>
              </w:rPr>
              <w:t xml:space="preserve">3.**Contingency</w:t>
            </w:r>
          </w:p>
        </w:tc>
        <w:tc>
          <w:tcPr>
            <w:tcW w:w="980" w:type="dxa"/>
            <w:tcBorders>
              <w:top w:val="nil"/>
              <w:left w:val="nil"/>
              <w:bottom w:val="double" w:sz="6" w:color="000000"/>
              <w:right w:val="nil"/>
            </w:tcBorders>
            <w:vAlign w:val="top"/>
          </w:tcPr>
          <w:p>
            <w:pPr>
              <w:spacing w:before="0" w:after="213" w:line="259" w:lineRule="auto"/>
              <w:ind w:left="111" w:right="0" w:firstLine="0"/>
              <w:jc w:val="left"/>
            </w:pPr>
            <w:r>
              <w:rPr>
                <w:rFonts w:cs="Calibri" w:hAnsi="Calibri" w:eastAsia="Calibri" w:ascii="Calibri"/>
                <w:sz w:val="18"/>
              </w:rPr>
              <w:t xml:space="preserve">Day</w:t>
            </w:r>
          </w:p>
          <w:p>
            <w:pPr>
              <w:spacing w:before="0" w:after="0" w:line="259" w:lineRule="auto"/>
              <w:ind w:left="111" w:right="0" w:firstLine="0"/>
              <w:jc w:val="left"/>
            </w:pPr>
            <w:r>
              <w:rPr>
                <w:rFonts w:cs="Calibri" w:hAnsi="Calibri" w:eastAsia="Calibri" w:ascii="Calibri"/>
                <w:sz w:val="18"/>
              </w:rPr>
              <w:t xml:space="preserve">Day</w:t>
            </w:r>
          </w:p>
          <w:p>
            <w:pPr>
              <w:spacing w:before="0" w:after="0" w:line="259" w:lineRule="auto"/>
              <w:ind w:left="123" w:right="0" w:firstLine="0"/>
              <w:jc w:val="left"/>
            </w:pPr>
            <w:r>
              <w:rPr>
                <w:rFonts w:cs="Calibri" w:hAnsi="Calibri" w:eastAsia="Calibri" w:ascii="Calibri"/>
                <w:sz w:val="18"/>
              </w:rPr>
              <w:t xml:space="preserve">R/T</w:t>
            </w:r>
          </w:p>
        </w:tc>
        <w:tc>
          <w:tcPr>
            <w:tcW w:w="687" w:type="dxa"/>
            <w:tcBorders>
              <w:top w:val="nil"/>
              <w:left w:val="nil"/>
              <w:bottom w:val="double" w:sz="6" w:color="000000"/>
              <w:right w:val="nil"/>
            </w:tcBorders>
            <w:vAlign w:val="top"/>
          </w:tcPr>
          <w:p>
            <w:pPr>
              <w:spacing w:before="0" w:after="213" w:line="259" w:lineRule="auto"/>
              <w:ind w:left="46" w:right="0" w:firstLine="0"/>
              <w:jc w:val="left"/>
            </w:pPr>
            <w:r>
              <w:rPr>
                <w:rFonts w:cs="Calibri" w:hAnsi="Calibri" w:eastAsia="Calibri" w:ascii="Calibri"/>
                <w:sz w:val="18"/>
              </w:rPr>
              <w:t xml:space="preserve">21</w:t>
            </w:r>
          </w:p>
          <w:p>
            <w:pPr>
              <w:spacing w:before="0" w:after="0" w:line="259" w:lineRule="auto"/>
              <w:ind w:left="46" w:right="0" w:firstLine="0"/>
              <w:jc w:val="left"/>
            </w:pPr>
            <w:r>
              <w:rPr>
                <w:rFonts w:cs="Calibri" w:hAnsi="Calibri" w:eastAsia="Calibri" w:ascii="Calibri"/>
                <w:sz w:val="18"/>
              </w:rPr>
              <w:t xml:space="preserve">26</w:t>
            </w:r>
          </w:p>
          <w:p>
            <w:pPr>
              <w:spacing w:before="0" w:after="0" w:line="259" w:lineRule="auto"/>
              <w:ind w:left="88" w:right="0" w:firstLine="0"/>
              <w:jc w:val="left"/>
            </w:pPr>
            <w:r>
              <w:rPr>
                <w:rFonts w:cs="Calibri" w:hAnsi="Calibri" w:eastAsia="Calibri" w:ascii="Calibri"/>
                <w:sz w:val="18"/>
              </w:rPr>
              <w:t xml:space="preserve">1</w:t>
            </w:r>
          </w:p>
        </w:tc>
        <w:tc>
          <w:tcPr>
            <w:tcW w:w="1582" w:type="dxa"/>
            <w:tcBorders>
              <w:top w:val="nil"/>
              <w:left w:val="nil"/>
              <w:bottom w:val="double" w:sz="6" w:color="000000"/>
              <w:right w:val="nil"/>
            </w:tcBorders>
            <w:vAlign w:val="top"/>
          </w:tcPr>
          <w:p>
            <w:pPr>
              <w:spacing w:before="0" w:after="213" w:line="259" w:lineRule="auto"/>
              <w:ind w:left="311" w:right="0" w:firstLine="0"/>
              <w:jc w:val="left"/>
            </w:pPr>
            <w:r>
              <w:rPr>
                <w:rFonts w:cs="Calibri" w:hAnsi="Calibri" w:eastAsia="Calibri" w:ascii="Calibri"/>
                <w:sz w:val="18"/>
              </w:rPr>
              <w:t xml:space="preserve">$1,000.00</w:t>
            </w:r>
          </w:p>
          <w:p>
            <w:pPr>
              <w:spacing w:before="0" w:after="0" w:line="259" w:lineRule="auto"/>
              <w:ind w:left="311" w:right="0" w:firstLine="134"/>
              <w:jc w:val="left"/>
            </w:pPr>
            <w:r>
              <w:rPr>
                <w:rFonts w:cs="Calibri" w:hAnsi="Calibri" w:eastAsia="Calibri" w:ascii="Calibri"/>
                <w:sz w:val="18"/>
              </w:rPr>
              <w:t xml:space="preserve">$216.00 $2,500.00</w:t>
            </w:r>
          </w:p>
        </w:tc>
        <w:tc>
          <w:tcPr>
            <w:tcW w:w="933" w:type="dxa"/>
            <w:tcBorders>
              <w:top w:val="nil"/>
              <w:left w:val="nil"/>
              <w:bottom w:val="double" w:sz="6" w:color="000000"/>
              <w:right w:val="nil"/>
            </w:tcBorders>
            <w:vAlign w:val="top"/>
          </w:tcPr>
          <w:p>
            <w:pPr>
              <w:spacing w:before="0" w:after="213" w:line="259" w:lineRule="auto"/>
              <w:ind w:left="96" w:right="0" w:firstLine="0"/>
              <w:jc w:val="left"/>
            </w:pPr>
            <w:r>
              <w:rPr>
                <w:rFonts w:cs="Calibri" w:hAnsi="Calibri" w:eastAsia="Calibri" w:ascii="Calibri"/>
                <w:sz w:val="18"/>
              </w:rPr>
              <w:t xml:space="preserve">$21,000.00</w:t>
            </w:r>
          </w:p>
          <w:p>
            <w:pPr>
              <w:spacing w:before="0" w:after="0" w:line="259" w:lineRule="auto"/>
              <w:ind w:left="0" w:right="33" w:firstLine="0"/>
              <w:jc w:val="right"/>
            </w:pPr>
            <w:r>
              <w:rPr>
                <w:rFonts w:cs="Calibri" w:hAnsi="Calibri" w:eastAsia="Calibri" w:ascii="Calibri"/>
                <w:sz w:val="18"/>
              </w:rPr>
              <w:t xml:space="preserve">$5,616.00</w:t>
            </w:r>
          </w:p>
          <w:p>
            <w:pPr>
              <w:spacing w:before="0" w:after="0" w:line="259" w:lineRule="auto"/>
              <w:ind w:left="0" w:right="33" w:firstLine="0"/>
              <w:jc w:val="right"/>
            </w:pPr>
            <w:r>
              <w:rPr>
                <w:rFonts w:cs="Calibri" w:hAnsi="Calibri" w:eastAsia="Calibri" w:ascii="Calibri"/>
                <w:sz w:val="18"/>
              </w:rPr>
              <w:t xml:space="preserve">$2,500.00</w:t>
            </w:r>
          </w:p>
        </w:tc>
      </w:tr>
      <w:tr>
        <w:trPr>
          <w:trHeight w:val="699"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80" w:type="dxa"/>
            <w:tcBorders>
              <w:top w:val="double" w:sz="6" w:color="000000"/>
              <w:left w:val="nil"/>
              <w:bottom w:val="double" w:sz="6" w:color="000000"/>
              <w:right w:val="nil"/>
            </w:tcBorders>
            <w:vAlign w:val="bottom"/>
          </w:tcPr>
          <w:p>
            <w:pPr>
              <w:spacing w:before="0" w:after="0" w:line="259" w:lineRule="auto"/>
              <w:ind w:left="88" w:right="0" w:firstLine="0"/>
              <w:jc w:val="left"/>
            </w:pPr>
            <w:r>
              <w:rPr>
                <w:rFonts w:cs="Calibri" w:hAnsi="Calibri" w:eastAsia="Calibri" w:ascii="Calibri"/>
                <w:sz w:val="18"/>
              </w:rPr>
              <w:t xml:space="preserve">Pool</w:t>
            </w:r>
          </w:p>
        </w:tc>
        <w:tc>
          <w:tcPr>
            <w:tcW w:w="687" w:type="dxa"/>
            <w:tcBorders>
              <w:top w:val="double" w:sz="6" w:color="000000"/>
              <w:left w:val="nil"/>
              <w:bottom w:val="double" w:sz="6" w:color="000000"/>
              <w:right w:val="nil"/>
            </w:tcBorders>
            <w:vAlign w:val="bottom"/>
          </w:tcPr>
          <w:p>
            <w:pPr>
              <w:spacing w:before="0" w:after="0" w:line="259" w:lineRule="auto"/>
              <w:ind w:left="88" w:right="0" w:firstLine="0"/>
              <w:jc w:val="left"/>
            </w:pPr>
            <w:r>
              <w:rPr>
                <w:rFonts w:cs="Calibri" w:hAnsi="Calibri" w:eastAsia="Calibri" w:ascii="Calibri"/>
                <w:sz w:val="18"/>
              </w:rPr>
              <w:t xml:space="preserve">1</w:t>
            </w:r>
          </w:p>
        </w:tc>
        <w:tc>
          <w:tcPr>
            <w:tcW w:w="1582" w:type="dxa"/>
            <w:tcBorders>
              <w:top w:val="double" w:sz="6" w:color="000000"/>
              <w:left w:val="nil"/>
              <w:bottom w:val="double" w:sz="6" w:color="000000"/>
              <w:right w:val="nil"/>
            </w:tcBorders>
            <w:vAlign w:val="bottom"/>
          </w:tcPr>
          <w:p>
            <w:pPr>
              <w:spacing w:before="0" w:after="0" w:line="259" w:lineRule="auto"/>
              <w:ind w:left="223" w:right="0" w:firstLine="0"/>
              <w:jc w:val="left"/>
            </w:pPr>
            <w:r>
              <w:rPr>
                <w:rFonts w:cs="Calibri" w:hAnsi="Calibri" w:eastAsia="Calibri" w:ascii="Calibri"/>
                <w:sz w:val="18"/>
              </w:rPr>
              <w:t xml:space="preserve">$50,000.00</w:t>
            </w:r>
          </w:p>
        </w:tc>
        <w:tc>
          <w:tcPr>
            <w:tcW w:w="933" w:type="dxa"/>
            <w:tcBorders>
              <w:top w:val="double" w:sz="6" w:color="000000"/>
              <w:left w:val="nil"/>
              <w:bottom w:val="double" w:sz="6" w:color="000000"/>
              <w:right w:val="nil"/>
            </w:tcBorders>
            <w:vAlign w:val="top"/>
          </w:tcPr>
          <w:p>
            <w:pPr>
              <w:spacing w:before="0" w:after="0" w:line="259" w:lineRule="auto"/>
              <w:ind w:left="0" w:right="0" w:firstLine="0"/>
              <w:jc w:val="center"/>
            </w:pPr>
            <w:r>
              <w:rPr>
                <w:rFonts w:cs="Calibri" w:hAnsi="Calibri" w:eastAsia="Calibri" w:ascii="Calibri"/>
                <w:b w:val="1"/>
                <w:sz w:val="18"/>
              </w:rPr>
              <w:t xml:space="preserve">$29,116.00 </w:t>
            </w:r>
            <w:r>
              <w:rPr>
                <w:rFonts w:cs="Calibri" w:hAnsi="Calibri" w:eastAsia="Calibri" w:ascii="Calibri"/>
                <w:sz w:val="18"/>
              </w:rPr>
              <w:t xml:space="preserve">$50,000.00</w:t>
            </w:r>
          </w:p>
        </w:tc>
      </w:tr>
      <w:tr>
        <w:trPr>
          <w:trHeight w:val="3372"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80" w:type="dxa"/>
            <w:tcBorders>
              <w:top w:val="double" w:sz="6" w:color="000000"/>
              <w:left w:val="nil"/>
              <w:bottom w:val="double" w:sz="6" w:color="000000"/>
              <w:right w:val="nil"/>
            </w:tcBorders>
            <w:vAlign w:val="bottom"/>
          </w:tcPr>
          <w:p>
            <w:pPr>
              <w:spacing w:before="0" w:after="216" w:line="259" w:lineRule="auto"/>
              <w:ind w:left="142" w:right="0" w:firstLine="0"/>
              <w:jc w:val="left"/>
            </w:pPr>
            <w:r>
              <w:rPr>
                <w:rFonts w:cs="Calibri" w:hAnsi="Calibri" w:eastAsia="Calibri" w:ascii="Calibri"/>
                <w:sz w:val="18"/>
              </w:rPr>
              <w:t xml:space="preserve">Ea.</w:t>
            </w:r>
          </w:p>
          <w:p>
            <w:pPr>
              <w:spacing w:before="0" w:after="213"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tc>
        <w:tc>
          <w:tcPr>
            <w:tcW w:w="687" w:type="dxa"/>
            <w:tcBorders>
              <w:top w:val="double" w:sz="6" w:color="000000"/>
              <w:left w:val="nil"/>
              <w:bottom w:val="double" w:sz="6" w:color="000000"/>
              <w:right w:val="nil"/>
            </w:tcBorders>
            <w:vAlign w:val="bottom"/>
          </w:tcPr>
          <w:p>
            <w:pPr>
              <w:spacing w:before="0" w:after="216" w:line="259" w:lineRule="auto"/>
              <w:ind w:left="46" w:right="0" w:firstLine="0"/>
              <w:jc w:val="left"/>
            </w:pPr>
            <w:r>
              <w:rPr>
                <w:rFonts w:cs="Calibri" w:hAnsi="Calibri" w:eastAsia="Calibri" w:ascii="Calibri"/>
                <w:sz w:val="18"/>
              </w:rPr>
              <w:t xml:space="preserve">20</w:t>
            </w:r>
          </w:p>
          <w:p>
            <w:pPr>
              <w:spacing w:before="0" w:after="213" w:line="259" w:lineRule="auto"/>
              <w:ind w:left="46" w:right="0" w:firstLine="0"/>
              <w:jc w:val="left"/>
            </w:pPr>
            <w:r>
              <w:rPr>
                <w:rFonts w:cs="Calibri" w:hAnsi="Calibri" w:eastAsia="Calibri" w:ascii="Calibri"/>
                <w:sz w:val="18"/>
              </w:rPr>
              <w:t xml:space="preserve">20</w:t>
            </w:r>
          </w:p>
          <w:p>
            <w:pPr>
              <w:spacing w:before="0" w:after="0" w:line="259" w:lineRule="auto"/>
              <w:ind w:left="46" w:right="0" w:firstLine="0"/>
              <w:jc w:val="left"/>
            </w:pPr>
            <w:r>
              <w:rPr>
                <w:rFonts w:cs="Calibri" w:hAnsi="Calibri" w:eastAsia="Calibri" w:ascii="Calibri"/>
                <w:sz w:val="18"/>
              </w:rPr>
              <w:t xml:space="preserve">10</w:t>
            </w:r>
          </w:p>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46" w:right="0" w:firstLine="0"/>
              <w:jc w:val="left"/>
            </w:pPr>
            <w:r>
              <w:rPr>
                <w:rFonts w:cs="Calibri" w:hAnsi="Calibri" w:eastAsia="Calibri" w:ascii="Calibri"/>
                <w:sz w:val="18"/>
              </w:rPr>
              <w:t xml:space="preserve">25</w:t>
            </w:r>
          </w:p>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46" w:right="0" w:firstLine="0"/>
              <w:jc w:val="left"/>
            </w:pPr>
            <w:r>
              <w:rPr>
                <w:rFonts w:cs="Calibri" w:hAnsi="Calibri" w:eastAsia="Calibri" w:ascii="Calibri"/>
                <w:sz w:val="18"/>
              </w:rPr>
              <w:t xml:space="preserve">50</w:t>
            </w:r>
          </w:p>
          <w:p>
            <w:pPr>
              <w:spacing w:before="0" w:after="0" w:line="259" w:lineRule="auto"/>
              <w:ind w:left="46" w:right="0" w:firstLine="0"/>
              <w:jc w:val="left"/>
            </w:pPr>
            <w:r>
              <w:rPr>
                <w:rFonts w:cs="Calibri" w:hAnsi="Calibri" w:eastAsia="Calibri" w:ascii="Calibri"/>
                <w:sz w:val="18"/>
              </w:rPr>
              <w:t xml:space="preserve">60</w:t>
            </w:r>
          </w:p>
          <w:p>
            <w:pPr>
              <w:spacing w:before="0" w:after="0" w:line="259" w:lineRule="auto"/>
              <w:ind w:left="88" w:right="0" w:firstLine="0"/>
              <w:jc w:val="left"/>
            </w:pPr>
            <w:r>
              <w:rPr>
                <w:rFonts w:cs="Calibri" w:hAnsi="Calibri" w:eastAsia="Calibri" w:ascii="Calibri"/>
                <w:sz w:val="18"/>
              </w:rPr>
              <w:t xml:space="preserve">4</w:t>
            </w:r>
          </w:p>
        </w:tc>
        <w:tc>
          <w:tcPr>
            <w:tcW w:w="1582" w:type="dxa"/>
            <w:tcBorders>
              <w:top w:val="double" w:sz="6" w:color="000000"/>
              <w:left w:val="nil"/>
              <w:bottom w:val="double" w:sz="6" w:color="000000"/>
              <w:right w:val="nil"/>
            </w:tcBorders>
            <w:vAlign w:val="bottom"/>
          </w:tcPr>
          <w:p>
            <w:pPr>
              <w:spacing w:before="0" w:after="216" w:line="259" w:lineRule="auto"/>
              <w:ind w:left="88" w:right="0" w:firstLine="0"/>
              <w:jc w:val="left"/>
            </w:pPr>
            <w:r>
              <w:rPr>
                <w:rFonts w:cs="Calibri" w:hAnsi="Calibri" w:eastAsia="Calibri" w:ascii="Calibri"/>
                <w:sz w:val="18"/>
              </w:rPr>
              <w:t xml:space="preserve">$1,400.00</w:t>
            </w:r>
          </w:p>
          <w:p>
            <w:pPr>
              <w:spacing w:before="0" w:after="213" w:line="259" w:lineRule="auto"/>
              <w:ind w:left="88" w:right="0" w:firstLine="0"/>
              <w:jc w:val="left"/>
            </w:pPr>
            <w:r>
              <w:rPr>
                <w:rFonts w:cs="Calibri" w:hAnsi="Calibri" w:eastAsia="Calibri" w:ascii="Calibri"/>
                <w:sz w:val="18"/>
              </w:rPr>
              <w:t xml:space="preserve">$1,200.00</w:t>
            </w:r>
          </w:p>
          <w:p>
            <w:pPr>
              <w:spacing w:before="0" w:after="0" w:line="259" w:lineRule="auto"/>
              <w:ind w:left="157" w:right="0" w:firstLine="0"/>
              <w:jc w:val="left"/>
            </w:pPr>
            <w:r>
              <w:rPr>
                <w:rFonts w:cs="Calibri" w:hAnsi="Calibri" w:eastAsia="Calibri" w:ascii="Calibri"/>
                <w:sz w:val="18"/>
              </w:rPr>
              <w:t xml:space="preserve">$750.00</w:t>
            </w:r>
          </w:p>
          <w:p>
            <w:pPr>
              <w:spacing w:before="0" w:after="0" w:line="259" w:lineRule="auto"/>
              <w:ind w:left="157" w:right="0" w:firstLine="0"/>
              <w:jc w:val="left"/>
            </w:pPr>
            <w:r>
              <w:rPr>
                <w:rFonts w:cs="Calibri" w:hAnsi="Calibri" w:eastAsia="Calibri" w:ascii="Calibri"/>
                <w:sz w:val="18"/>
              </w:rPr>
              <w:t xml:space="preserve">$556.00</w:t>
            </w:r>
          </w:p>
          <w:p>
            <w:pPr>
              <w:spacing w:before="0" w:after="0" w:line="259" w:lineRule="auto"/>
              <w:ind w:left="88" w:right="0" w:firstLine="0"/>
              <w:jc w:val="left"/>
            </w:pPr>
            <w:r>
              <w:rPr>
                <w:rFonts w:cs="Calibri" w:hAnsi="Calibri" w:eastAsia="Calibri" w:ascii="Calibri"/>
                <w:sz w:val="18"/>
              </w:rPr>
              <w:t xml:space="preserve">$7,800.00</w:t>
            </w:r>
          </w:p>
          <w:p>
            <w:pPr>
              <w:spacing w:before="0" w:after="0" w:line="259" w:lineRule="auto"/>
              <w:ind w:left="157" w:right="0" w:firstLine="0"/>
              <w:jc w:val="left"/>
            </w:pPr>
            <w:r>
              <w:rPr>
                <w:rFonts w:cs="Calibri" w:hAnsi="Calibri" w:eastAsia="Calibri" w:ascii="Calibri"/>
                <w:sz w:val="18"/>
              </w:rPr>
              <w:t xml:space="preserve">$500.00</w:t>
            </w:r>
          </w:p>
          <w:p>
            <w:pPr>
              <w:spacing w:before="0" w:after="0" w:line="259" w:lineRule="auto"/>
              <w:ind w:left="157" w:right="0" w:firstLine="0"/>
              <w:jc w:val="left"/>
            </w:pPr>
            <w:r>
              <w:rPr>
                <w:rFonts w:cs="Calibri" w:hAnsi="Calibri" w:eastAsia="Calibri" w:ascii="Calibri"/>
                <w:sz w:val="18"/>
              </w:rPr>
              <w:t xml:space="preserve">$450.00</w:t>
            </w:r>
          </w:p>
          <w:p>
            <w:pPr>
              <w:spacing w:before="0" w:after="0" w:line="259" w:lineRule="auto"/>
              <w:ind w:left="88" w:right="0" w:firstLine="0"/>
              <w:jc w:val="left"/>
            </w:pPr>
            <w:r>
              <w:rPr>
                <w:rFonts w:cs="Calibri" w:hAnsi="Calibri" w:eastAsia="Calibri" w:ascii="Calibri"/>
                <w:sz w:val="18"/>
              </w:rPr>
              <w:t xml:space="preserve">$1,300.00</w:t>
            </w:r>
          </w:p>
          <w:p>
            <w:pPr>
              <w:spacing w:before="0" w:after="0" w:line="259" w:lineRule="auto"/>
              <w:ind w:left="157" w:right="0" w:firstLine="0"/>
              <w:jc w:val="left"/>
            </w:pPr>
            <w:r>
              <w:rPr>
                <w:rFonts w:cs="Calibri" w:hAnsi="Calibri" w:eastAsia="Calibri" w:ascii="Calibri"/>
                <w:sz w:val="18"/>
              </w:rPr>
              <w:t xml:space="preserve">$399.00</w:t>
            </w:r>
          </w:p>
          <w:p>
            <w:pPr>
              <w:spacing w:before="0" w:after="0" w:line="259" w:lineRule="auto"/>
              <w:ind w:left="157" w:right="0" w:firstLine="0"/>
              <w:jc w:val="left"/>
            </w:pPr>
            <w:r>
              <w:rPr>
                <w:rFonts w:cs="Calibri" w:hAnsi="Calibri" w:eastAsia="Calibri" w:ascii="Calibri"/>
                <w:sz w:val="18"/>
              </w:rPr>
              <w:t xml:space="preserve">$150.00</w:t>
            </w:r>
          </w:p>
          <w:p>
            <w:pPr>
              <w:spacing w:before="0" w:after="0" w:line="259" w:lineRule="auto"/>
              <w:ind w:left="157" w:right="0" w:firstLine="0"/>
              <w:jc w:val="left"/>
            </w:pPr>
            <w:r>
              <w:rPr>
                <w:rFonts w:cs="Calibri" w:hAnsi="Calibri" w:eastAsia="Calibri" w:ascii="Calibri"/>
                <w:sz w:val="18"/>
              </w:rPr>
              <w:t xml:space="preserve">$535.00</w:t>
            </w:r>
          </w:p>
        </w:tc>
        <w:tc>
          <w:tcPr>
            <w:tcW w:w="933" w:type="dxa"/>
            <w:tcBorders>
              <w:top w:val="double" w:sz="6" w:color="000000"/>
              <w:left w:val="nil"/>
              <w:bottom w:val="double" w:sz="6" w:color="000000"/>
              <w:right w:val="nil"/>
            </w:tcBorders>
            <w:vAlign w:val="top"/>
          </w:tcPr>
          <w:p>
            <w:pPr>
              <w:spacing w:before="0" w:after="213" w:line="259" w:lineRule="auto"/>
              <w:ind w:left="92" w:right="0" w:firstLine="0"/>
              <w:jc w:val="left"/>
            </w:pPr>
            <w:r>
              <w:rPr>
                <w:rFonts w:cs="Calibri" w:hAnsi="Calibri" w:eastAsia="Calibri" w:ascii="Calibri"/>
                <w:b w:val="1"/>
                <w:sz w:val="18"/>
              </w:rPr>
              <w:t xml:space="preserve">$50,000.00</w:t>
            </w:r>
          </w:p>
          <w:p>
            <w:pPr>
              <w:spacing w:before="0" w:after="216" w:line="259" w:lineRule="auto"/>
              <w:ind w:left="96" w:right="0" w:firstLine="0"/>
              <w:jc w:val="left"/>
            </w:pPr>
            <w:r>
              <w:rPr>
                <w:rFonts w:cs="Calibri" w:hAnsi="Calibri" w:eastAsia="Calibri" w:ascii="Calibri"/>
                <w:sz w:val="18"/>
              </w:rPr>
              <w:t xml:space="preserve">$28,000.00</w:t>
            </w:r>
          </w:p>
          <w:p>
            <w:pPr>
              <w:spacing w:before="0" w:after="213" w:line="259" w:lineRule="auto"/>
              <w:ind w:left="96" w:right="0" w:firstLine="0"/>
              <w:jc w:val="left"/>
            </w:pPr>
            <w:r>
              <w:rPr>
                <w:rFonts w:cs="Calibri" w:hAnsi="Calibri" w:eastAsia="Calibri" w:ascii="Calibri"/>
                <w:sz w:val="18"/>
              </w:rPr>
              <w:t xml:space="preserve">$24,000.00</w:t>
            </w:r>
          </w:p>
          <w:p>
            <w:pPr>
              <w:spacing w:before="0" w:after="0" w:line="259" w:lineRule="auto"/>
              <w:ind w:left="0" w:right="33" w:firstLine="0"/>
              <w:jc w:val="right"/>
            </w:pPr>
            <w:r>
              <w:rPr>
                <w:rFonts w:cs="Calibri" w:hAnsi="Calibri" w:eastAsia="Calibri" w:ascii="Calibri"/>
                <w:sz w:val="18"/>
              </w:rPr>
              <w:t xml:space="preserve">$7,500.00</w:t>
            </w:r>
          </w:p>
          <w:p>
            <w:pPr>
              <w:spacing w:before="0" w:after="0" w:line="248" w:lineRule="auto"/>
              <w:ind w:left="0" w:right="32" w:firstLine="0"/>
              <w:jc w:val="right"/>
            </w:pPr>
            <w:r>
              <w:rPr>
                <w:rFonts w:cs="Calibri" w:hAnsi="Calibri" w:eastAsia="Calibri" w:ascii="Calibri"/>
                <w:sz w:val="18"/>
              </w:rPr>
              <w:t xml:space="preserve">$1,112.00 $15,600.00</w:t>
            </w:r>
          </w:p>
          <w:p>
            <w:pPr>
              <w:spacing w:before="0" w:after="0" w:line="259" w:lineRule="auto"/>
              <w:ind w:left="96" w:right="0" w:firstLine="0"/>
              <w:jc w:val="left"/>
            </w:pPr>
            <w:r>
              <w:rPr>
                <w:rFonts w:cs="Calibri" w:hAnsi="Calibri" w:eastAsia="Calibri" w:ascii="Calibri"/>
                <w:sz w:val="18"/>
              </w:rPr>
              <w:t xml:space="preserve">$12,500.00</w:t>
            </w:r>
          </w:p>
          <w:p>
            <w:pPr>
              <w:spacing w:before="0" w:after="0" w:line="259" w:lineRule="auto"/>
              <w:ind w:left="0" w:right="33" w:firstLine="0"/>
              <w:jc w:val="right"/>
            </w:pPr>
            <w:r>
              <w:rPr>
                <w:rFonts w:cs="Calibri" w:hAnsi="Calibri" w:eastAsia="Calibri" w:ascii="Calibri"/>
                <w:sz w:val="18"/>
              </w:rPr>
              <w:t xml:space="preserve">$900.00</w:t>
            </w:r>
          </w:p>
          <w:p>
            <w:pPr>
              <w:spacing w:before="0" w:after="0" w:line="259" w:lineRule="auto"/>
              <w:ind w:left="0" w:right="33" w:firstLine="0"/>
              <w:jc w:val="right"/>
            </w:pPr>
            <w:r>
              <w:rPr>
                <w:rFonts w:cs="Calibri" w:hAnsi="Calibri" w:eastAsia="Calibri" w:ascii="Calibri"/>
                <w:sz w:val="18"/>
              </w:rPr>
              <w:t xml:space="preserve">$2,600.00</w:t>
            </w:r>
          </w:p>
          <w:p>
            <w:pPr>
              <w:spacing w:before="0" w:after="0" w:line="248" w:lineRule="auto"/>
              <w:ind w:left="0" w:right="32" w:firstLine="0"/>
              <w:jc w:val="right"/>
            </w:pPr>
            <w:r>
              <w:rPr>
                <w:rFonts w:cs="Calibri" w:hAnsi="Calibri" w:eastAsia="Calibri" w:ascii="Calibri"/>
                <w:sz w:val="18"/>
              </w:rPr>
              <w:t xml:space="preserve">$19,950.00 $9,000.00</w:t>
            </w:r>
          </w:p>
          <w:p>
            <w:pPr>
              <w:spacing w:before="0" w:after="0" w:line="259" w:lineRule="auto"/>
              <w:ind w:left="0" w:right="33" w:firstLine="0"/>
              <w:jc w:val="right"/>
            </w:pPr>
            <w:r>
              <w:rPr>
                <w:rFonts w:cs="Calibri" w:hAnsi="Calibri" w:eastAsia="Calibri" w:ascii="Calibri"/>
                <w:sz w:val="18"/>
              </w:rPr>
              <w:t xml:space="preserve">$2,140.00</w:t>
            </w:r>
          </w:p>
        </w:tc>
      </w:tr>
      <w:tr>
        <w:trPr>
          <w:trHeight w:val="1144"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80" w:type="dxa"/>
            <w:tcBorders>
              <w:top w:val="double" w:sz="6" w:color="000000"/>
              <w:left w:val="nil"/>
              <w:bottom w:val="double" w:sz="6" w:color="000000"/>
              <w:right w:val="nil"/>
            </w:tcBorders>
            <w:vAlign w:val="bottom"/>
          </w:tcPr>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88" w:right="0" w:firstLine="0"/>
              <w:jc w:val="left"/>
            </w:pPr>
            <w:r>
              <w:rPr>
                <w:rFonts w:cs="Calibri" w:hAnsi="Calibri" w:eastAsia="Calibri" w:ascii="Calibri"/>
                <w:sz w:val="18"/>
              </w:rPr>
              <w:t xml:space="preserve">Year</w:t>
            </w:r>
          </w:p>
          <w:p>
            <w:pPr>
              <w:spacing w:before="0" w:after="0" w:line="259" w:lineRule="auto"/>
              <w:ind w:left="0" w:right="0" w:firstLine="0"/>
              <w:jc w:val="left"/>
            </w:pPr>
            <w:r>
              <w:rPr>
                <w:rFonts w:cs="Calibri" w:hAnsi="Calibri" w:eastAsia="Calibri" w:ascii="Calibri"/>
                <w:sz w:val="18"/>
              </w:rPr>
              <w:t xml:space="preserve">Person</w:t>
            </w:r>
          </w:p>
        </w:tc>
        <w:tc>
          <w:tcPr>
            <w:tcW w:w="687" w:type="dxa"/>
            <w:tcBorders>
              <w:top w:val="double" w:sz="6" w:color="000000"/>
              <w:left w:val="nil"/>
              <w:bottom w:val="double" w:sz="6" w:color="000000"/>
              <w:right w:val="nil"/>
            </w:tcBorders>
            <w:vAlign w:val="bottom"/>
          </w:tcPr>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88" w:right="0" w:firstLine="0"/>
              <w:jc w:val="left"/>
            </w:pPr>
            <w:r>
              <w:rPr>
                <w:rFonts w:cs="Calibri" w:hAnsi="Calibri" w:eastAsia="Calibri" w:ascii="Calibri"/>
                <w:sz w:val="18"/>
              </w:rPr>
              <w:t xml:space="preserve">2</w:t>
            </w:r>
          </w:p>
          <w:p>
            <w:pPr>
              <w:spacing w:before="0" w:after="0" w:line="259" w:lineRule="auto"/>
              <w:ind w:left="0" w:right="0" w:firstLine="0"/>
              <w:jc w:val="left"/>
            </w:pPr>
            <w:r>
              <w:rPr>
                <w:rFonts w:cs="Calibri" w:hAnsi="Calibri" w:eastAsia="Calibri" w:ascii="Calibri"/>
                <w:sz w:val="18"/>
              </w:rPr>
              <w:t xml:space="preserve">150</w:t>
            </w:r>
          </w:p>
        </w:tc>
        <w:tc>
          <w:tcPr>
            <w:tcW w:w="1582" w:type="dxa"/>
            <w:tcBorders>
              <w:top w:val="double" w:sz="6" w:color="000000"/>
              <w:left w:val="nil"/>
              <w:bottom w:val="double" w:sz="6" w:color="000000"/>
              <w:right w:val="nil"/>
            </w:tcBorders>
            <w:vAlign w:val="bottom"/>
          </w:tcPr>
          <w:p>
            <w:pPr>
              <w:spacing w:before="0" w:after="0" w:line="259" w:lineRule="auto"/>
              <w:ind w:left="46" w:right="0" w:firstLine="0"/>
              <w:jc w:val="left"/>
            </w:pPr>
            <w:r>
              <w:rPr>
                <w:rFonts w:cs="Calibri" w:hAnsi="Calibri" w:eastAsia="Calibri" w:ascii="Calibri"/>
                <w:sz w:val="18"/>
              </w:rPr>
              <w:t xml:space="preserve">$20,000.00</w:t>
            </w:r>
          </w:p>
          <w:p>
            <w:pPr>
              <w:spacing w:before="0" w:after="0" w:line="259" w:lineRule="auto"/>
              <w:ind w:left="157" w:right="0" w:firstLine="0"/>
              <w:jc w:val="left"/>
            </w:pPr>
            <w:r>
              <w:rPr>
                <w:rFonts w:cs="Calibri" w:hAnsi="Calibri" w:eastAsia="Calibri" w:ascii="Calibri"/>
                <w:sz w:val="18"/>
              </w:rPr>
              <w:t xml:space="preserve">$500.00</w:t>
            </w:r>
          </w:p>
          <w:p>
            <w:pPr>
              <w:spacing w:before="0" w:after="0" w:line="259" w:lineRule="auto"/>
              <w:ind w:left="200" w:right="0" w:firstLine="0"/>
              <w:jc w:val="left"/>
            </w:pPr>
            <w:r>
              <w:rPr>
                <w:rFonts w:cs="Calibri" w:hAnsi="Calibri" w:eastAsia="Calibri" w:ascii="Calibri"/>
                <w:sz w:val="18"/>
              </w:rPr>
              <w:t xml:space="preserve">$10.00</w:t>
            </w:r>
          </w:p>
        </w:tc>
        <w:tc>
          <w:tcPr>
            <w:tcW w:w="933" w:type="dxa"/>
            <w:tcBorders>
              <w:top w:val="double" w:sz="6" w:color="000000"/>
              <w:left w:val="nil"/>
              <w:bottom w:val="double" w:sz="6" w:color="000000"/>
              <w:right w:val="nil"/>
            </w:tcBorders>
            <w:vAlign w:val="top"/>
          </w:tcPr>
          <w:p>
            <w:pPr>
              <w:spacing w:before="0" w:after="213" w:line="259" w:lineRule="auto"/>
              <w:ind w:left="0" w:right="0" w:firstLine="0"/>
            </w:pPr>
            <w:r>
              <w:rPr>
                <w:rFonts w:cs="Calibri" w:hAnsi="Calibri" w:eastAsia="Calibri" w:ascii="Calibri"/>
                <w:b w:val="1"/>
                <w:sz w:val="18"/>
              </w:rPr>
              <w:t xml:space="preserve">$123,302.00</w:t>
            </w:r>
          </w:p>
          <w:p>
            <w:pPr>
              <w:spacing w:before="0" w:after="0" w:line="248" w:lineRule="auto"/>
              <w:ind w:left="0" w:right="32" w:firstLine="0"/>
              <w:jc w:val="right"/>
            </w:pPr>
            <w:r>
              <w:rPr>
                <w:rFonts w:cs="Calibri" w:hAnsi="Calibri" w:eastAsia="Calibri" w:ascii="Calibri"/>
                <w:sz w:val="18"/>
              </w:rPr>
              <w:t xml:space="preserve">$40,000.00 $1,000.00</w:t>
            </w:r>
          </w:p>
          <w:p>
            <w:pPr>
              <w:spacing w:before="0" w:after="0" w:line="259" w:lineRule="auto"/>
              <w:ind w:left="0" w:right="33" w:firstLine="0"/>
              <w:jc w:val="right"/>
            </w:pPr>
            <w:r>
              <w:rPr>
                <w:rFonts w:cs="Calibri" w:hAnsi="Calibri" w:eastAsia="Calibri" w:ascii="Calibri"/>
                <w:sz w:val="18"/>
              </w:rPr>
              <w:t xml:space="preserve">$1,500.00</w:t>
            </w:r>
          </w:p>
        </w:tc>
      </w:tr>
      <w:tr>
        <w:trPr>
          <w:trHeight w:val="1367"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80" w:type="dxa"/>
            <w:tcBorders>
              <w:top w:val="double" w:sz="6" w:color="000000"/>
              <w:left w:val="nil"/>
              <w:bottom w:val="double" w:sz="6" w:color="000000"/>
              <w:right w:val="nil"/>
            </w:tcBorders>
            <w:vAlign w:val="bottom"/>
          </w:tcPr>
          <w:p>
            <w:pPr>
              <w:spacing w:before="0" w:after="213"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p>
            <w:pPr>
              <w:spacing w:before="0" w:after="0" w:line="259" w:lineRule="auto"/>
              <w:ind w:left="142" w:right="0" w:firstLine="0"/>
              <w:jc w:val="left"/>
            </w:pPr>
            <w:r>
              <w:rPr>
                <w:rFonts w:cs="Calibri" w:hAnsi="Calibri" w:eastAsia="Calibri" w:ascii="Calibri"/>
                <w:sz w:val="18"/>
              </w:rPr>
              <w:t xml:space="preserve">Ea.</w:t>
            </w:r>
          </w:p>
        </w:tc>
        <w:tc>
          <w:tcPr>
            <w:tcW w:w="687" w:type="dxa"/>
            <w:tcBorders>
              <w:top w:val="double" w:sz="6" w:color="000000"/>
              <w:left w:val="nil"/>
              <w:bottom w:val="double" w:sz="6" w:color="000000"/>
              <w:right w:val="nil"/>
            </w:tcBorders>
            <w:vAlign w:val="bottom"/>
          </w:tcPr>
          <w:p>
            <w:pPr>
              <w:spacing w:before="0" w:after="213" w:line="259" w:lineRule="auto"/>
              <w:ind w:left="88" w:right="0" w:firstLine="0"/>
              <w:jc w:val="left"/>
            </w:pPr>
            <w:r>
              <w:rPr>
                <w:rFonts w:cs="Calibri" w:hAnsi="Calibri" w:eastAsia="Calibri" w:ascii="Calibri"/>
                <w:sz w:val="18"/>
              </w:rPr>
              <w:t xml:space="preserve">1</w:t>
            </w:r>
          </w:p>
          <w:p>
            <w:pPr>
              <w:spacing w:before="0" w:after="0" w:line="259" w:lineRule="auto"/>
              <w:ind w:left="88" w:right="0" w:firstLine="0"/>
              <w:jc w:val="left"/>
            </w:pPr>
            <w:r>
              <w:rPr>
                <w:rFonts w:cs="Calibri" w:hAnsi="Calibri" w:eastAsia="Calibri" w:ascii="Calibri"/>
                <w:sz w:val="18"/>
              </w:rPr>
              <w:t xml:space="preserve">1</w:t>
            </w:r>
          </w:p>
          <w:p>
            <w:pPr>
              <w:spacing w:before="0" w:after="0" w:line="259" w:lineRule="auto"/>
              <w:ind w:left="88" w:right="0" w:firstLine="0"/>
              <w:jc w:val="left"/>
            </w:pPr>
            <w:r>
              <w:rPr>
                <w:rFonts w:cs="Calibri" w:hAnsi="Calibri" w:eastAsia="Calibri" w:ascii="Calibri"/>
                <w:sz w:val="18"/>
              </w:rPr>
              <w:t xml:space="preserve">1</w:t>
            </w:r>
          </w:p>
        </w:tc>
        <w:tc>
          <w:tcPr>
            <w:tcW w:w="1582" w:type="dxa"/>
            <w:tcBorders>
              <w:top w:val="double" w:sz="6" w:color="000000"/>
              <w:left w:val="nil"/>
              <w:bottom w:val="double" w:sz="6" w:color="000000"/>
              <w:right w:val="nil"/>
            </w:tcBorders>
            <w:vAlign w:val="bottom"/>
          </w:tcPr>
          <w:p>
            <w:pPr>
              <w:spacing w:before="0" w:after="213" w:line="259" w:lineRule="auto"/>
              <w:ind w:left="0" w:right="0" w:firstLine="0"/>
              <w:jc w:val="left"/>
            </w:pPr>
            <w:r>
              <w:rPr>
                <w:rFonts w:cs="Calibri" w:hAnsi="Calibri" w:eastAsia="Calibri" w:ascii="Calibri"/>
                <w:sz w:val="18"/>
              </w:rPr>
              <w:t xml:space="preserve">$150,000.00</w:t>
            </w:r>
          </w:p>
          <w:p>
            <w:pPr>
              <w:spacing w:before="0" w:after="0" w:line="259" w:lineRule="auto"/>
              <w:ind w:left="0" w:right="0" w:firstLine="0"/>
              <w:jc w:val="left"/>
            </w:pPr>
            <w:r>
              <w:rPr>
                <w:rFonts w:cs="Calibri" w:hAnsi="Calibri" w:eastAsia="Calibri" w:ascii="Calibri"/>
                <w:sz w:val="18"/>
              </w:rPr>
              <w:t xml:space="preserve">$308,205.00</w:t>
            </w:r>
          </w:p>
          <w:p>
            <w:pPr>
              <w:spacing w:before="0" w:after="0" w:line="259" w:lineRule="auto"/>
              <w:ind w:left="46" w:right="0" w:firstLine="0"/>
              <w:jc w:val="left"/>
            </w:pPr>
            <w:r>
              <w:rPr>
                <w:rFonts w:cs="Calibri" w:hAnsi="Calibri" w:eastAsia="Calibri" w:ascii="Calibri"/>
                <w:sz w:val="18"/>
              </w:rPr>
              <w:t xml:space="preserve">$22,910.00</w:t>
            </w:r>
          </w:p>
        </w:tc>
        <w:tc>
          <w:tcPr>
            <w:tcW w:w="933" w:type="dxa"/>
            <w:tcBorders>
              <w:top w:val="double" w:sz="6" w:color="000000"/>
              <w:left w:val="nil"/>
              <w:bottom w:val="double" w:sz="6" w:color="000000"/>
              <w:right w:val="nil"/>
            </w:tcBorders>
            <w:vAlign w:val="top"/>
          </w:tcPr>
          <w:p>
            <w:pPr>
              <w:spacing w:before="0" w:after="213" w:line="259" w:lineRule="auto"/>
              <w:ind w:left="92" w:right="0" w:firstLine="0"/>
              <w:jc w:val="left"/>
            </w:pPr>
            <w:r>
              <w:rPr>
                <w:rFonts w:cs="Calibri" w:hAnsi="Calibri" w:eastAsia="Calibri" w:ascii="Calibri"/>
                <w:b w:val="1"/>
                <w:sz w:val="18"/>
              </w:rPr>
              <w:t xml:space="preserve">$42,500.00</w:t>
            </w:r>
          </w:p>
          <w:p>
            <w:pPr>
              <w:spacing w:before="0" w:after="213" w:line="259" w:lineRule="auto"/>
              <w:ind w:left="4" w:right="0" w:firstLine="0"/>
            </w:pPr>
            <w:r>
              <w:rPr>
                <w:rFonts w:cs="Calibri" w:hAnsi="Calibri" w:eastAsia="Calibri" w:ascii="Calibri"/>
                <w:sz w:val="18"/>
              </w:rPr>
              <w:t xml:space="preserve">$150,000.00</w:t>
            </w:r>
          </w:p>
          <w:p>
            <w:pPr>
              <w:spacing w:before="0" w:after="0" w:line="259" w:lineRule="auto"/>
              <w:ind w:left="4" w:right="0" w:firstLine="0"/>
            </w:pPr>
            <w:r>
              <w:rPr>
                <w:rFonts w:cs="Calibri" w:hAnsi="Calibri" w:eastAsia="Calibri" w:ascii="Calibri"/>
                <w:sz w:val="18"/>
              </w:rPr>
              <w:t xml:space="preserve">$308,205.00</w:t>
            </w:r>
          </w:p>
          <w:p>
            <w:pPr>
              <w:spacing w:before="0" w:after="0" w:line="259" w:lineRule="auto"/>
              <w:ind w:left="96" w:right="0" w:firstLine="0"/>
              <w:jc w:val="left"/>
            </w:pPr>
            <w:r>
              <w:rPr>
                <w:rFonts w:cs="Calibri" w:hAnsi="Calibri" w:eastAsia="Calibri" w:ascii="Calibri"/>
                <w:sz w:val="18"/>
              </w:rPr>
              <w:t xml:space="preserve">$22,910.00</w:t>
            </w:r>
          </w:p>
        </w:tc>
      </w:tr>
    </w:tbl>
    <w:p>
      <w:pPr>
        <w:spacing w:before="0" w:after="324" w:line="259" w:lineRule="auto"/>
        <w:ind w:left="4" w:right="0" w:firstLine="0"/>
        <w:jc w:val="left"/>
      </w:pPr>
      <w:r>
        <w:rPr>
          <w:rFonts w:cs="Calibri" w:hAnsi="Calibri" w:eastAsia="Calibri" w:ascii="Calibri"/>
          <w:sz w:val="18"/>
        </w:rPr>
        <w:t xml:space="preserve">in*good*time*for*the*constitutional*referendum**and*general*elections*</w:t>
      </w:r>
    </w:p>
    <w:p>
      <w:pPr>
        <w:pStyle w:val="heading5"/>
        <w:tabs>
          <w:tab w:val="center" w:pos="6168"/>
          <w:tab w:val="center" w:pos="12063"/>
        </w:tabs>
        <w:spacing w:before="0" w:after="0" w:line="259" w:lineRule="auto"/>
        <w:ind w:left="0" w:firstLine="0"/>
      </w:pPr>
      <w:r>
        <w:rPr>
          <w:rFonts w:cs="Calibri" w:hAnsi="Calibri" w:eastAsia="Calibri" w:ascii="Calibri"/>
          <w:b w:val="0"/>
          <w:i w:val="0"/>
          <w:sz w:val="22"/>
        </w:rPr>
        <w:t xml:space="preserve">	</w:t>
      </w:r>
      <w:r>
        <w:rPr>
          <w:rFonts w:cs="Calibri" w:hAnsi="Calibri" w:eastAsia="Calibri" w:ascii="Calibri"/>
          <w:b w:val="0"/>
          <w:i w:val="0"/>
          <w:sz w:val="18"/>
        </w:rPr>
        <w:t xml:space="preserve">1*OF*2	</w:t>
      </w:r>
      <w:r>
        <w:rPr>
          <w:rFonts w:cs="Calibri" w:hAnsi="Calibri" w:eastAsia="Calibri" w:ascii="Calibri"/>
          <w:b w:val="0"/>
          <w:i w:val="0"/>
          <w:sz w:val="18"/>
        </w:rPr>
        <w:t xml:space="preserve">7/1/13</w:t>
      </w:r>
    </w:p>
    <w:p>
      <w:pPr>
        <w:pStyle w:val="heading6"/>
        <w:spacing w:before="0" w:after="369" w:line="259" w:lineRule="auto"/>
        <w:jc w:val="center"/>
      </w:pPr>
      <w:r>
        <w:rPr/>
        <w:t xml:space="preserve">DEMOCRATIC*EMPOWERMENT*PROJECT*WORK*PLAN*BUDGET*2013*8*2014</w:t>
      </w:r>
    </w:p>
    <w:p>
      <w:pPr>
        <w:spacing w:before="0" w:after="75" w:line="259" w:lineRule="auto"/>
        <w:ind w:left="61" w:right="0"/>
        <w:jc w:val="left"/>
      </w:pPr>
      <w:r>
        <w:rPr>
          <w:rFonts w:cs="Calibri" w:hAnsi="Calibri" w:eastAsia="Calibri" w:ascii="Calibri"/>
          <w:sz w:val="22"/>
        </w:rPr>
        <w:drawing>
          <wp:anchor simplePos="0" relativeHeight="0" locked="0" layoutInCell="1" allowOverlap="1" behindDoc="1">
            <wp:simplePos x="0" y="0"/>
            <wp:positionH relativeFrom="column">
              <wp:posOffset>-16877</wp:posOffset>
            </wp:positionH>
            <wp:positionV relativeFrom="paragraph">
              <wp:posOffset>1449</wp:posOffset>
            </wp:positionV>
            <wp:extent cx="7804906" cy="560217"/>
            <wp:wrapNone/>
            <wp:docPr id="127230" name="Group 127230"/>
            <wp:cNvGraphicFramePr/>
            <a:graphic>
              <a:graphicData uri="http://schemas.microsoft.com/office/word/2010/wordprocessingGroup">
                <wpg:wgp>
                  <wpg:cNvGrpSpPr/>
                  <wpg:grpSpPr>
                    <a:xfrm>
                      <a:off x="0" y="0"/>
                      <a:ext cx="7804906" cy="560217"/>
                      <a:chOff x="0" y="0"/>
                      <a:chExt cx="7804906" cy="560217"/>
                    </a:xfrm>
                  </wpg:grpSpPr>
                  <wps:wsp>
                    <wps:cNvPr id="172436" name="Shape 172436"/>
                    <wps:cNvSpPr/>
                    <wps:spPr>
                      <a:xfrm>
                        <a:off x="0" y="0"/>
                        <a:ext cx="7804906" cy="150187"/>
                      </a:xfrm>
                      <a:custGeom>
                        <a:pathLst>
                          <a:path w="7804906" h="150187">
                            <a:moveTo>
                              <a:pt x="0" y="0"/>
                            </a:moveTo>
                            <a:lnTo>
                              <a:pt x="7804906" y="0"/>
                            </a:lnTo>
                            <a:lnTo>
                              <a:pt x="7804906" y="150187"/>
                            </a:lnTo>
                            <a:lnTo>
                              <a:pt x="0" y="150187"/>
                            </a:lnTo>
                            <a:lnTo>
                              <a:pt x="0" y="0"/>
                            </a:lnTo>
                          </a:path>
                        </a:pathLst>
                      </a:custGeom>
                      <a:ln w="0" cap="flat">
                        <a:miter lim="127000"/>
                      </a:ln>
                    </wps:spPr>
                    <wps:style>
                      <a:lnRef idx="0">
                        <a:srgbClr val="000000">
                          <a:alpha val="0"/>
                        </a:srgbClr>
                      </a:lnRef>
                      <a:fillRef idx="1">
                        <a:srgbClr val="eaf1dd"/>
                      </a:fillRef>
                      <a:effectRef idx="0"/>
                      <a:fontRef idx="none"/>
                    </wps:style>
                    <wps:bodyPr/>
                  </wps:wsp>
                  <wps:wsp>
                    <wps:cNvPr id="172437" name="Shape 172437"/>
                    <wps:cNvSpPr/>
                    <wps:spPr>
                      <a:xfrm>
                        <a:off x="0" y="205015"/>
                        <a:ext cx="7804906" cy="150185"/>
                      </a:xfrm>
                      <a:custGeom>
                        <a:pathLst>
                          <a:path w="7804906" h="150185">
                            <a:moveTo>
                              <a:pt x="0" y="0"/>
                            </a:moveTo>
                            <a:lnTo>
                              <a:pt x="7804906" y="0"/>
                            </a:lnTo>
                            <a:lnTo>
                              <a:pt x="7804906" y="150185"/>
                            </a:lnTo>
                            <a:lnTo>
                              <a:pt x="0" y="150185"/>
                            </a:lnTo>
                            <a:lnTo>
                              <a:pt x="0" y="0"/>
                            </a:lnTo>
                          </a:path>
                        </a:pathLst>
                      </a:custGeom>
                      <a:ln w="0" cap="flat">
                        <a:miter lim="127000"/>
                      </a:ln>
                    </wps:spPr>
                    <wps:style>
                      <a:lnRef idx="0">
                        <a:srgbClr val="000000">
                          <a:alpha val="0"/>
                        </a:srgbClr>
                      </a:lnRef>
                      <a:fillRef idx="1">
                        <a:srgbClr val="f3dcda"/>
                      </a:fillRef>
                      <a:effectRef idx="0"/>
                      <a:fontRef idx="none"/>
                    </wps:style>
                    <wps:bodyPr/>
                  </wps:wsp>
                  <wps:wsp>
                    <wps:cNvPr id="172438" name="Shape 172438"/>
                    <wps:cNvSpPr/>
                    <wps:spPr>
                      <a:xfrm>
                        <a:off x="0" y="410031"/>
                        <a:ext cx="7804906" cy="150186"/>
                      </a:xfrm>
                      <a:custGeom>
                        <a:pathLst>
                          <a:path w="7804906" h="150186">
                            <a:moveTo>
                              <a:pt x="0" y="0"/>
                            </a:moveTo>
                            <a:lnTo>
                              <a:pt x="7804906" y="0"/>
                            </a:lnTo>
                            <a:lnTo>
                              <a:pt x="7804906" y="150186"/>
                            </a:lnTo>
                            <a:lnTo>
                              <a:pt x="0" y="150186"/>
                            </a:lnTo>
                            <a:lnTo>
                              <a:pt x="0" y="0"/>
                            </a:lnTo>
                          </a:path>
                        </a:pathLst>
                      </a:custGeom>
                      <a:ln w="0" cap="flat">
                        <a:miter lim="127000"/>
                      </a:ln>
                    </wps:spPr>
                    <wps:style>
                      <a:lnRef idx="0">
                        <a:srgbClr val="000000">
                          <a:alpha val="0"/>
                        </a:srgbClr>
                      </a:lnRef>
                      <a:fillRef idx="1">
                        <a:srgbClr val="dce6f1"/>
                      </a:fillRef>
                      <a:effectRef idx="0"/>
                      <a:fontRef idx="none"/>
                    </wps:style>
                    <wps:bodyPr/>
                  </wps:wsp>
                </wpg:wgp>
              </a:graphicData>
            </a:graphic>
          </wp:anchor>
        </w:drawing>
      </w:r>
      <w:r>
        <w:rPr>
          <w:rFonts w:cs="Calibri" w:hAnsi="Calibri" w:eastAsia="Calibri" w:ascii="Calibri"/>
          <w:b w:val="1"/>
          <w:sz w:val="19"/>
        </w:rPr>
        <w:t xml:space="preserve">COMPONENT%2:%%SUPPORT%IMPROVEMENT%OF%EMB%INTEGRITY%AND%MANAGEMENT%CAPACITIES%</w:t>
      </w:r>
    </w:p>
    <w:p>
      <w:pPr>
        <w:spacing w:before="0" w:after="75" w:line="259" w:lineRule="auto"/>
        <w:ind w:left="61" w:right="0"/>
        <w:jc w:val="left"/>
      </w:pPr>
      <w:r>
        <w:rPr>
          <w:rFonts w:cs="Calibri" w:hAnsi="Calibri" w:eastAsia="Calibri" w:ascii="Calibri"/>
          <w:b w:val="1"/>
          <w:sz w:val="19"/>
        </w:rPr>
        <w:t xml:space="preserve">Output%3:%%EMBs%capacity%improved%to%conduct%credible%electoral%processes</w:t>
      </w:r>
    </w:p>
    <w:p>
      <w:pPr>
        <w:tabs>
          <w:tab w:val="center" w:pos="392"/>
          <w:tab w:val="center" w:pos="3490"/>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9"/>
        </w:rPr>
        <w:t xml:space="preserve">2.3.1.	</w:t>
      </w:r>
      <w:r>
        <w:rPr>
          <w:rFonts w:cs="Calibri" w:hAnsi="Calibri" w:eastAsia="Calibri" w:ascii="Calibri"/>
          <w:b w:val="1"/>
          <w:sz w:val="19"/>
        </w:rPr>
        <w:t xml:space="preserve">Support%voter%registration%and%de&gt;duplication%of%the%voter%register%</w:t>
      </w:r>
    </w:p>
    <w:tbl>
      <w:tblPr>
        <w:tblStyle w:val="TableGrid"/>
        <w:tblW w:w="12166" w:type="dxa"/>
        <w:tblInd w:w="6" w:type="dxa"/>
        <w:tblCellMar>
          <w:top w:w="0" w:type="dxa"/>
          <w:left w:w="0" w:type="dxa"/>
          <w:bottom w:w="0" w:type="dxa"/>
          <w:right w:w="0" w:type="dxa"/>
        </w:tblCellMar>
      </w:tblPr>
      <w:tblGrid>
        <w:gridCol w:w="4977"/>
        <w:gridCol w:w="3764"/>
        <w:gridCol w:w="1494"/>
        <w:gridCol w:w="905"/>
        <w:gridCol w:w="1026"/>
      </w:tblGrid>
      <w:tr>
        <w:trPr>
          <w:trHeight w:val="1404" w:hRule="atLeast"/>
        </w:trPr>
        <w:tc>
          <w:tcPr>
            <w:tcW w:w="4977" w:type="dxa"/>
            <w:tcBorders>
              <w:top w:val="nil"/>
              <w:left w:val="nil"/>
              <w:bottom w:val="nil"/>
              <w:right w:val="nil"/>
            </w:tcBorders>
            <w:vAlign w:val="top"/>
          </w:tcPr>
          <w:p>
            <w:pPr>
              <w:spacing w:before="0" w:after="0" w:line="259" w:lineRule="auto"/>
              <w:ind w:left="0" w:right="0" w:firstLine="1"/>
              <w:jc w:val="left"/>
            </w:pPr>
            <w:r>
              <w:rPr>
                <w:rFonts w:cs="Calibri" w:hAnsi="Calibri" w:eastAsia="Calibri" w:ascii="Calibri"/>
                <w:sz w:val="19"/>
              </w:rPr>
              <w:t xml:space="preserve">*A.**Audit*of*voter's*register*is*designed*and*conducted*in* accordance*with*internationally*recognized*principles*</w:t>
            </w:r>
          </w:p>
        </w:tc>
        <w:tc>
          <w:tcPr>
            <w:tcW w:w="3764" w:type="dxa"/>
            <w:tcBorders>
              <w:top w:val="nil"/>
              <w:left w:val="nil"/>
              <w:bottom w:val="nil"/>
              <w:right w:val="nil"/>
            </w:tcBorders>
            <w:vAlign w:val="top"/>
          </w:tcPr>
          <w:p>
            <w:pPr>
              <w:spacing w:before="0" w:after="0" w:line="259" w:lineRule="auto"/>
              <w:ind w:left="2" w:right="0" w:firstLine="0"/>
              <w:jc w:val="left"/>
            </w:pPr>
            <w:r>
              <w:rPr>
                <w:rFonts w:cs="Calibri" w:hAnsi="Calibri" w:eastAsia="Calibri" w:ascii="Calibri"/>
                <w:sz w:val="19"/>
              </w:rPr>
              <w:t xml:space="preserve">*Intl*Consultants*8*Voter*Registration* Days</w:t>
            </w:r>
          </w:p>
          <w:p>
            <w:pPr>
              <w:spacing w:before="0" w:after="0" w:line="259" w:lineRule="auto"/>
              <w:ind w:left="3" w:right="0" w:firstLine="0"/>
              <w:jc w:val="left"/>
            </w:pPr>
            <w:r>
              <w:rPr>
                <w:rFonts w:cs="Calibri" w:hAnsi="Calibri" w:eastAsia="Calibri" w:ascii="Calibri"/>
                <w:sz w:val="19"/>
              </w:rPr>
              <w:t xml:space="preserve">Audit*(2)*</w:t>
            </w:r>
          </w:p>
          <w:p>
            <w:pPr>
              <w:tabs>
                <w:tab w:val="center" w:pos="3105"/>
              </w:tabs>
              <w:spacing w:before="0" w:after="0" w:line="259" w:lineRule="auto"/>
              <w:ind w:left="0" w:right="0" w:firstLine="0"/>
              <w:jc w:val="left"/>
            </w:pPr>
            <w:r>
              <w:rPr>
                <w:rFonts w:cs="Calibri" w:hAnsi="Calibri" w:eastAsia="Calibri" w:ascii="Calibri"/>
                <w:sz w:val="17"/>
              </w:rPr>
              <w:t xml:space="preserve">Consultant*DSA	</w:t>
            </w:r>
            <w:r>
              <w:rPr>
                <w:rFonts w:cs="Calibri" w:hAnsi="Calibri" w:eastAsia="Calibri" w:ascii="Calibri"/>
                <w:sz w:val="19"/>
              </w:rPr>
              <w:t xml:space="preserve">Days</w:t>
            </w:r>
          </w:p>
          <w:p>
            <w:pPr>
              <w:spacing w:before="0" w:after="0" w:line="259" w:lineRule="auto"/>
              <w:ind w:left="59" w:right="0" w:firstLine="0"/>
              <w:jc w:val="left"/>
            </w:pPr>
            <w:r>
              <w:rPr>
                <w:rFonts w:cs="Calibri" w:hAnsi="Calibri" w:eastAsia="Calibri" w:ascii="Calibri"/>
                <w:sz w:val="19"/>
              </w:rPr>
              <w:t xml:space="preserve">Intl*Consultants*8*Airfare</w:t>
            </w:r>
          </w:p>
          <w:p>
            <w:pPr>
              <w:tabs>
                <w:tab w:val="center" w:pos="3105"/>
              </w:tabs>
              <w:spacing w:before="0" w:after="0" w:line="259" w:lineRule="auto"/>
              <w:ind w:left="0" w:right="0" w:firstLine="0"/>
              <w:jc w:val="left"/>
            </w:pPr>
            <w:r>
              <w:rPr>
                <w:rFonts w:cs="Calibri" w:hAnsi="Calibri" w:eastAsia="Calibri" w:ascii="Calibri"/>
                <w:sz w:val="19"/>
              </w:rPr>
              <w:t xml:space="preserve">*National*Stakeholder*Consultants*	Days</w:t>
            </w:r>
          </w:p>
          <w:p>
            <w:pPr>
              <w:spacing w:before="0" w:after="0" w:line="259" w:lineRule="auto"/>
              <w:ind w:left="0" w:right="0" w:firstLine="0"/>
              <w:jc w:val="left"/>
            </w:pPr>
            <w:r>
              <w:rPr>
                <w:rFonts w:cs="Calibri" w:hAnsi="Calibri" w:eastAsia="Calibri" w:ascii="Calibri"/>
                <w:sz w:val="19"/>
              </w:rPr>
              <w:t xml:space="preserve">(2)*</w:t>
            </w:r>
          </w:p>
        </w:tc>
        <w:tc>
          <w:tcPr>
            <w:tcW w:w="1494" w:type="dxa"/>
            <w:tcBorders>
              <w:top w:val="nil"/>
              <w:left w:val="nil"/>
              <w:bottom w:val="nil"/>
              <w:right w:val="nil"/>
            </w:tcBorders>
            <w:vAlign w:val="top"/>
          </w:tcPr>
          <w:p>
            <w:pPr>
              <w:spacing w:before="0" w:after="218" w:line="259" w:lineRule="auto"/>
              <w:ind w:left="0" w:right="0" w:firstLine="0"/>
              <w:jc w:val="left"/>
            </w:pPr>
            <w:r>
              <w:rPr>
                <w:rFonts w:cs="Calibri" w:hAnsi="Calibri" w:eastAsia="Calibri" w:ascii="Calibri"/>
                <w:sz w:val="19"/>
              </w:rPr>
              <w:t xml:space="preserve">$*********</w:t>
            </w:r>
            <w:r>
              <w:rPr>
                <w:rFonts w:cs="Calibri" w:hAnsi="Calibri" w:eastAsia="Calibri" w:ascii="Calibri"/>
                <w:sz w:val="19"/>
              </w:rPr>
              <w:t xml:space="preserve">*</w:t>
            </w:r>
            <w:r>
              <w:rPr>
                <w:rFonts w:cs="Calibri" w:hAnsi="Calibri" w:eastAsia="Calibri" w:ascii="Calibri"/>
                <w:sz w:val="19"/>
              </w:rPr>
              <w:t xml:space="preserve">40.00</w:t>
            </w:r>
          </w:p>
          <w:p>
            <w:pPr>
              <w:spacing w:before="0" w:after="0" w:line="259" w:lineRule="auto"/>
              <w:ind w:left="0" w:right="0" w:firstLine="0"/>
              <w:jc w:val="left"/>
            </w:pPr>
            <w:r>
              <w:rPr>
                <w:rFonts w:cs="Calibri" w:hAnsi="Calibri" w:eastAsia="Calibri" w:ascii="Calibri"/>
                <w:sz w:val="19"/>
              </w:rPr>
              <w:t xml:space="preserve">$*********</w:t>
            </w:r>
            <w:r>
              <w:rPr>
                <w:rFonts w:cs="Calibri" w:hAnsi="Calibri" w:eastAsia="Calibri" w:ascii="Calibri"/>
                <w:sz w:val="19"/>
              </w:rPr>
              <w:t xml:space="preserve">*</w:t>
            </w:r>
            <w:r>
              <w:rPr>
                <w:rFonts w:cs="Calibri" w:hAnsi="Calibri" w:eastAsia="Calibri" w:ascii="Calibri"/>
                <w:sz w:val="19"/>
              </w:rPr>
              <w:t xml:space="preserve">52.00</w:t>
            </w:r>
          </w:p>
          <w:p>
            <w:pPr>
              <w:spacing w:before="0" w:after="0" w:line="259" w:lineRule="auto"/>
              <w:ind w:left="8" w:right="0" w:firstLine="0"/>
              <w:jc w:val="left"/>
            </w:pPr>
            <w:r>
              <w:rPr>
                <w:rFonts w:cs="Calibri" w:hAnsi="Calibri" w:eastAsia="Calibri" w:ascii="Calibri"/>
                <w:sz w:val="19"/>
              </w:rPr>
              <w:t xml:space="preserve">$***********</w:t>
            </w:r>
            <w:r>
              <w:rPr>
                <w:rFonts w:cs="Calibri" w:hAnsi="Calibri" w:eastAsia="Calibri" w:ascii="Calibri"/>
                <w:sz w:val="19"/>
              </w:rPr>
              <w:t xml:space="preserve">*</w:t>
            </w:r>
            <w:r>
              <w:rPr>
                <w:rFonts w:cs="Calibri" w:hAnsi="Calibri" w:eastAsia="Calibri" w:ascii="Calibri"/>
                <w:sz w:val="19"/>
              </w:rPr>
              <w:t xml:space="preserve">2.00</w:t>
            </w:r>
          </w:p>
          <w:p>
            <w:pPr>
              <w:spacing w:before="0" w:after="0" w:line="259" w:lineRule="auto"/>
              <w:ind w:left="0" w:right="0" w:firstLine="0"/>
              <w:jc w:val="left"/>
            </w:pPr>
            <w:r>
              <w:rPr>
                <w:rFonts w:cs="Calibri" w:hAnsi="Calibri" w:eastAsia="Calibri" w:ascii="Calibri"/>
                <w:sz w:val="19"/>
              </w:rPr>
              <w:t xml:space="preserve">$*********</w:t>
            </w:r>
            <w:r>
              <w:rPr>
                <w:rFonts w:cs="Calibri" w:hAnsi="Calibri" w:eastAsia="Calibri" w:ascii="Calibri"/>
                <w:sz w:val="19"/>
              </w:rPr>
              <w:t xml:space="preserve">*</w:t>
            </w:r>
            <w:r>
              <w:rPr>
                <w:rFonts w:cs="Calibri" w:hAnsi="Calibri" w:eastAsia="Calibri" w:ascii="Calibri"/>
                <w:sz w:val="19"/>
              </w:rPr>
              <w:t xml:space="preserve">40.00</w:t>
            </w:r>
          </w:p>
        </w:tc>
        <w:tc>
          <w:tcPr>
            <w:tcW w:w="905" w:type="dxa"/>
            <w:tcBorders>
              <w:top w:val="nil"/>
              <w:left w:val="nil"/>
              <w:bottom w:val="nil"/>
              <w:right w:val="nil"/>
            </w:tcBorders>
            <w:vAlign w:val="top"/>
          </w:tcPr>
          <w:p>
            <w:pPr>
              <w:spacing w:before="0" w:after="218" w:line="259" w:lineRule="auto"/>
              <w:ind w:left="165" w:right="0" w:firstLine="0"/>
              <w:jc w:val="left"/>
            </w:pPr>
            <w:r>
              <w:rPr>
                <w:rFonts w:cs="Calibri" w:hAnsi="Calibri" w:eastAsia="Calibri" w:ascii="Calibri"/>
                <w:sz w:val="19"/>
              </w:rPr>
              <w:t xml:space="preserve">$750.00</w:t>
            </w:r>
          </w:p>
          <w:p>
            <w:pPr>
              <w:spacing w:before="0" w:after="0" w:line="259" w:lineRule="auto"/>
              <w:ind w:left="165" w:right="0" w:firstLine="0"/>
              <w:jc w:val="left"/>
            </w:pPr>
            <w:r>
              <w:rPr>
                <w:rFonts w:cs="Calibri" w:hAnsi="Calibri" w:eastAsia="Calibri" w:ascii="Calibri"/>
                <w:sz w:val="19"/>
              </w:rPr>
              <w:t xml:space="preserve">$216.00</w:t>
            </w:r>
          </w:p>
          <w:p>
            <w:pPr>
              <w:spacing w:before="0" w:after="0" w:line="259" w:lineRule="auto"/>
              <w:ind w:left="0" w:right="122" w:firstLine="0"/>
              <w:jc w:val="right"/>
            </w:pPr>
            <w:r>
              <w:rPr>
                <w:rFonts w:cs="Calibri" w:hAnsi="Calibri" w:eastAsia="Calibri" w:ascii="Calibri"/>
                <w:sz w:val="19"/>
              </w:rPr>
              <w:t xml:space="preserve">$2,000.00 $500.00</w:t>
            </w:r>
          </w:p>
        </w:tc>
        <w:tc>
          <w:tcPr>
            <w:tcW w:w="1026" w:type="dxa"/>
            <w:tcBorders>
              <w:top w:val="nil"/>
              <w:left w:val="nil"/>
              <w:bottom w:val="nil"/>
              <w:right w:val="nil"/>
            </w:tcBorders>
            <w:vAlign w:val="top"/>
          </w:tcPr>
          <w:p>
            <w:pPr>
              <w:spacing w:before="0" w:after="218" w:line="259" w:lineRule="auto"/>
              <w:ind w:left="0" w:right="0" w:firstLine="0"/>
            </w:pPr>
            <w:r>
              <w:rPr>
                <w:rFonts w:cs="Calibri" w:hAnsi="Calibri" w:eastAsia="Calibri" w:ascii="Calibri"/>
                <w:sz w:val="19"/>
              </w:rPr>
              <w:t xml:space="preserve">$****30,000.00</w:t>
            </w:r>
            <w:r>
              <w:rPr>
                <w:rFonts w:cs="Calibri" w:hAnsi="Calibri" w:eastAsia="Calibri" w:ascii="Calibri"/>
                <w:sz w:val="19"/>
              </w:rPr>
              <w:t xml:space="preserve">*</w:t>
            </w:r>
          </w:p>
          <w:p>
            <w:pPr>
              <w:spacing w:before="0" w:after="0" w:line="259" w:lineRule="auto"/>
              <w:ind w:left="0" w:right="0" w:firstLine="0"/>
              <w:jc w:val="left"/>
            </w:pPr>
            <w:r>
              <w:rPr>
                <w:rFonts w:cs="Calibri" w:hAnsi="Calibri" w:eastAsia="Calibri" w:ascii="Calibri"/>
                <w:sz w:val="19"/>
              </w:rPr>
              <w:t xml:space="preserve">$****11,232.00</w:t>
            </w:r>
            <w:r>
              <w:rPr>
                <w:rFonts w:cs="Calibri" w:hAnsi="Calibri" w:eastAsia="Calibri" w:ascii="Calibri"/>
                <w:sz w:val="19"/>
              </w:rPr>
              <w:t xml:space="preserve">* </w:t>
            </w:r>
            <w:r>
              <w:rPr>
                <w:rFonts w:cs="Calibri" w:hAnsi="Calibri" w:eastAsia="Calibri" w:ascii="Calibri"/>
                <w:sz w:val="19"/>
              </w:rPr>
              <w:t xml:space="preserve">$******</w:t>
            </w:r>
            <w:r>
              <w:rPr>
                <w:rFonts w:cs="Calibri" w:hAnsi="Calibri" w:eastAsia="Calibri" w:ascii="Calibri"/>
                <w:sz w:val="19"/>
              </w:rPr>
              <w:t xml:space="preserve">*</w:t>
            </w:r>
            <w:r>
              <w:rPr>
                <w:rFonts w:cs="Calibri" w:hAnsi="Calibri" w:eastAsia="Calibri" w:ascii="Calibri"/>
                <w:sz w:val="19"/>
              </w:rPr>
              <w:t xml:space="preserve">4,000.00 $****20,000.00</w:t>
            </w:r>
            <w:r>
              <w:rPr>
                <w:rFonts w:cs="Calibri" w:hAnsi="Calibri" w:eastAsia="Calibri" w:ascii="Calibri"/>
                <w:sz w:val="19"/>
              </w:rPr>
              <w:t xml:space="preserve">*</w:t>
            </w:r>
          </w:p>
        </w:tc>
      </w:tr>
    </w:tbl>
    <w:p>
      <w:pPr>
        <w:spacing w:before="0" w:after="0" w:line="259" w:lineRule="auto"/>
        <w:ind w:left="0" w:right="320" w:firstLine="0"/>
        <w:jc w:val="right"/>
      </w:pPr>
      <w:r>
        <w:rPr>
          <w:rFonts w:cs="Calibri" w:hAnsi="Calibri" w:eastAsia="Calibri" w:ascii="Calibri"/>
          <w:b w:val="1"/>
          <w:sz w:val="19"/>
        </w:rPr>
        <w:t xml:space="preserve">$%%%%65,232.00%</w:t>
      </w:r>
    </w:p>
    <w:p>
      <w:pPr>
        <w:tabs>
          <w:tab w:val="center" w:pos="392"/>
          <w:tab w:val="center" w:pos="4764"/>
        </w:tabs>
        <w:spacing w:before="0" w:after="0" w:line="259" w:lineRule="auto"/>
        <w:ind w:left="0" w:right="0" w:firstLine="0"/>
        <w:jc w:val="left"/>
      </w:pPr>
      <w:r>
        <w:rPr>
          <w:rFonts w:cs="Calibri" w:hAnsi="Calibri" w:eastAsia="Calibri" w:ascii="Calibri"/>
          <w:sz w:val="22"/>
        </w:rPr>
        <w:drawing>
          <wp:anchor simplePos="0" relativeHeight="0" locked="0" layoutInCell="1" allowOverlap="1" behindDoc="1">
            <wp:simplePos x="0" y="0"/>
            <wp:positionH relativeFrom="column">
              <wp:posOffset>-16877</wp:posOffset>
            </wp:positionH>
            <wp:positionV relativeFrom="paragraph">
              <wp:posOffset>-170192</wp:posOffset>
            </wp:positionV>
            <wp:extent cx="7804906" cy="321827"/>
            <wp:wrapNone/>
            <wp:docPr id="127231" name="Group 127231"/>
            <wp:cNvGraphicFramePr/>
            <a:graphic>
              <a:graphicData uri="http://schemas.microsoft.com/office/word/2010/wordprocessingGroup">
                <wpg:wgp>
                  <wpg:cNvGrpSpPr/>
                  <wpg:grpSpPr>
                    <a:xfrm>
                      <a:off x="0" y="0"/>
                      <a:ext cx="7804906" cy="321827"/>
                      <a:chOff x="0" y="0"/>
                      <a:chExt cx="7804906" cy="321827"/>
                    </a:xfrm>
                  </wpg:grpSpPr>
                  <wps:wsp>
                    <wps:cNvPr id="172439" name="Shape 172439"/>
                    <wps:cNvSpPr/>
                    <wps:spPr>
                      <a:xfrm>
                        <a:off x="0" y="171641"/>
                        <a:ext cx="7804906" cy="150186"/>
                      </a:xfrm>
                      <a:custGeom>
                        <a:pathLst>
                          <a:path w="7804906" h="150186">
                            <a:moveTo>
                              <a:pt x="0" y="0"/>
                            </a:moveTo>
                            <a:lnTo>
                              <a:pt x="7804906" y="0"/>
                            </a:lnTo>
                            <a:lnTo>
                              <a:pt x="7804906" y="150186"/>
                            </a:lnTo>
                            <a:lnTo>
                              <a:pt x="0" y="150186"/>
                            </a:lnTo>
                            <a:lnTo>
                              <a:pt x="0" y="0"/>
                            </a:lnTo>
                          </a:path>
                        </a:pathLst>
                      </a:custGeom>
                      <a:ln w="0" cap="flat">
                        <a:miter lim="127000"/>
                      </a:ln>
                    </wps:spPr>
                    <wps:style>
                      <a:lnRef idx="0">
                        <a:srgbClr val="000000">
                          <a:alpha val="0"/>
                        </a:srgbClr>
                      </a:lnRef>
                      <a:fillRef idx="1">
                        <a:srgbClr val="dce6f1"/>
                      </a:fillRef>
                      <a:effectRef idx="0"/>
                      <a:fontRef idx="none"/>
                    </wps:style>
                    <wps:bodyPr/>
                  </wps:wsp>
                  <wps:wsp>
                    <wps:cNvPr id="172440" name="Shape 172440"/>
                    <wps:cNvSpPr/>
                    <wps:spPr>
                      <a:xfrm>
                        <a:off x="4979978" y="0"/>
                        <a:ext cx="2824928" cy="9535"/>
                      </a:xfrm>
                      <a:custGeom>
                        <a:pathLst>
                          <a:path w="2824928" h="9535">
                            <a:moveTo>
                              <a:pt x="0" y="0"/>
                            </a:moveTo>
                            <a:lnTo>
                              <a:pt x="2824928" y="0"/>
                            </a:lnTo>
                            <a:lnTo>
                              <a:pt x="2824928" y="9535"/>
                            </a:lnTo>
                            <a:lnTo>
                              <a:pt x="0" y="9535"/>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1" name="Shape 172441"/>
                    <wps:cNvSpPr/>
                    <wps:spPr>
                      <a:xfrm>
                        <a:off x="4979978" y="19071"/>
                        <a:ext cx="2824928" cy="9536"/>
                      </a:xfrm>
                      <a:custGeom>
                        <a:pathLst>
                          <a:path w="2824928" h="9536">
                            <a:moveTo>
                              <a:pt x="0" y="0"/>
                            </a:moveTo>
                            <a:lnTo>
                              <a:pt x="2824928" y="0"/>
                            </a:lnTo>
                            <a:lnTo>
                              <a:pt x="2824928" y="9536"/>
                            </a:lnTo>
                            <a:lnTo>
                              <a:pt x="0" y="9536"/>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sz w:val="22"/>
        </w:rPr>
        <w:t xml:space="preserve">	</w:t>
      </w:r>
      <w:r>
        <w:rPr>
          <w:rFonts w:cs="Calibri" w:hAnsi="Calibri" w:eastAsia="Calibri" w:ascii="Calibri"/>
          <w:b w:val="1"/>
          <w:sz w:val="19"/>
        </w:rPr>
        <w:t xml:space="preserve">2.3.2.	</w:t>
      </w:r>
      <w:r>
        <w:rPr>
          <w:rFonts w:cs="Calibri" w:hAnsi="Calibri" w:eastAsia="Calibri" w:ascii="Calibri"/>
          <w:b w:val="1"/>
          <w:sz w:val="19"/>
        </w:rPr>
        <w:t xml:space="preserve">Facilitate%conduct%of%2014%referendum%and%the%2015%general%elections%and%Zanzibar%elections%(LTTA)</w:t>
      </w:r>
    </w:p>
    <w:tbl>
      <w:tblPr>
        <w:tblStyle w:val="TableGrid"/>
        <w:tblW w:w="12177" w:type="dxa"/>
        <w:tblInd w:w="56" w:type="dxa"/>
        <w:tblCellMar>
          <w:top w:w="0" w:type="dxa"/>
          <w:left w:w="0" w:type="dxa"/>
          <w:bottom w:w="0" w:type="dxa"/>
          <w:right w:w="0" w:type="dxa"/>
        </w:tblCellMar>
      </w:tblPr>
      <w:tblGrid>
        <w:gridCol w:w="830"/>
        <w:gridCol w:w="4772"/>
        <w:gridCol w:w="2309"/>
        <w:gridCol w:w="782"/>
        <w:gridCol w:w="1494"/>
        <w:gridCol w:w="1992"/>
      </w:tblGrid>
      <w:tr>
        <w:trPr>
          <w:trHeight w:val="214" w:hRule="atLeast"/>
        </w:trPr>
        <w:tc>
          <w:tcPr>
            <w:tcW w:w="830"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A.</w:t>
            </w:r>
          </w:p>
        </w:tc>
        <w:tc>
          <w:tcPr>
            <w:tcW w:w="477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Chief*Technical*Advisor*(P5)</w:t>
            </w:r>
          </w:p>
        </w:tc>
        <w:tc>
          <w:tcPr>
            <w:tcW w:w="2309" w:type="dxa"/>
            <w:tcBorders>
              <w:top w:val="nil"/>
              <w:left w:val="nil"/>
              <w:bottom w:val="nil"/>
              <w:right w:val="nil"/>
            </w:tcBorders>
            <w:vAlign w:val="top"/>
          </w:tcPr>
          <w:p>
            <w:pPr>
              <w:spacing w:before="0" w:after="0" w:line="259" w:lineRule="auto"/>
              <w:ind w:left="26" w:right="0" w:firstLine="0"/>
              <w:jc w:val="left"/>
            </w:pPr>
            <w:r>
              <w:rPr>
                <w:rFonts w:cs="Calibri" w:hAnsi="Calibri" w:eastAsia="Calibri" w:ascii="Calibri"/>
                <w:sz w:val="17"/>
              </w:rPr>
              <w:t xml:space="preserve">*(40%*of*12*months)</w:t>
            </w:r>
          </w:p>
        </w:tc>
        <w:tc>
          <w:tcPr>
            <w:tcW w:w="78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Months</w:t>
            </w:r>
          </w:p>
        </w:tc>
        <w:tc>
          <w:tcPr>
            <w:tcW w:w="1494" w:type="dxa"/>
            <w:tcBorders>
              <w:top w:val="nil"/>
              <w:left w:val="nil"/>
              <w:bottom w:val="nil"/>
              <w:right w:val="nil"/>
            </w:tcBorders>
            <w:vAlign w:val="top"/>
          </w:tcPr>
          <w:p>
            <w:pPr>
              <w:spacing w:before="0" w:after="0" w:line="259" w:lineRule="auto"/>
              <w:ind w:left="345" w:right="0" w:firstLine="0"/>
              <w:jc w:val="left"/>
            </w:pPr>
            <w:r>
              <w:rPr>
                <w:rFonts w:cs="Calibri" w:hAnsi="Calibri" w:eastAsia="Calibri" w:ascii="Calibri"/>
                <w:sz w:val="17"/>
              </w:rPr>
              <w:t xml:space="preserve">4.8</w:t>
            </w:r>
          </w:p>
        </w:tc>
        <w:tc>
          <w:tcPr>
            <w:tcW w:w="1992" w:type="dxa"/>
            <w:tcBorders>
              <w:top w:val="nil"/>
              <w:left w:val="nil"/>
              <w:bottom w:val="nil"/>
              <w:right w:val="nil"/>
            </w:tcBorders>
            <w:vAlign w:val="top"/>
          </w:tcPr>
          <w:p>
            <w:pPr>
              <w:tabs>
                <w:tab w:val="right" w:pos="1992"/>
              </w:tabs>
              <w:spacing w:before="0" w:after="0" w:line="259" w:lineRule="auto"/>
              <w:ind w:left="0" w:right="0" w:firstLine="0"/>
              <w:jc w:val="left"/>
            </w:pPr>
            <w:r>
              <w:rPr>
                <w:rFonts w:cs="Calibri" w:hAnsi="Calibri" w:eastAsia="Calibri" w:ascii="Calibri"/>
                <w:sz w:val="17"/>
              </w:rPr>
              <w:t xml:space="preserve">$21,517.24	$103,282.75</w:t>
            </w:r>
          </w:p>
        </w:tc>
      </w:tr>
      <w:tr>
        <w:trPr>
          <w:trHeight w:val="218" w:hRule="atLeast"/>
        </w:trPr>
        <w:tc>
          <w:tcPr>
            <w:tcW w:w="830"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B.</w:t>
            </w:r>
          </w:p>
        </w:tc>
        <w:tc>
          <w:tcPr>
            <w:tcW w:w="477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Project*Manager*(P4)</w:t>
            </w:r>
          </w:p>
        </w:tc>
        <w:tc>
          <w:tcPr>
            <w:tcW w:w="2309" w:type="dxa"/>
            <w:tcBorders>
              <w:top w:val="nil"/>
              <w:left w:val="nil"/>
              <w:bottom w:val="nil"/>
              <w:right w:val="nil"/>
            </w:tcBorders>
            <w:vAlign w:val="top"/>
          </w:tcPr>
          <w:p>
            <w:pPr>
              <w:spacing w:before="0" w:after="0" w:line="259" w:lineRule="auto"/>
              <w:ind w:left="45" w:right="0" w:firstLine="0"/>
              <w:jc w:val="left"/>
            </w:pPr>
            <w:r>
              <w:rPr>
                <w:rFonts w:cs="Calibri" w:hAnsi="Calibri" w:eastAsia="Calibri" w:ascii="Calibri"/>
                <w:sz w:val="17"/>
              </w:rPr>
              <w:t xml:space="preserve">(40%*of*12*months)</w:t>
            </w:r>
          </w:p>
        </w:tc>
        <w:tc>
          <w:tcPr>
            <w:tcW w:w="78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Months</w:t>
            </w:r>
          </w:p>
        </w:tc>
        <w:tc>
          <w:tcPr>
            <w:tcW w:w="1494" w:type="dxa"/>
            <w:tcBorders>
              <w:top w:val="nil"/>
              <w:left w:val="nil"/>
              <w:bottom w:val="nil"/>
              <w:right w:val="nil"/>
            </w:tcBorders>
            <w:vAlign w:val="top"/>
          </w:tcPr>
          <w:p>
            <w:pPr>
              <w:spacing w:before="0" w:after="0" w:line="259" w:lineRule="auto"/>
              <w:ind w:left="345" w:right="0" w:firstLine="0"/>
              <w:jc w:val="left"/>
            </w:pPr>
            <w:r>
              <w:rPr>
                <w:rFonts w:cs="Calibri" w:hAnsi="Calibri" w:eastAsia="Calibri" w:ascii="Calibri"/>
                <w:sz w:val="17"/>
              </w:rPr>
              <w:t xml:space="preserve">4.8</w:t>
            </w:r>
          </w:p>
        </w:tc>
        <w:tc>
          <w:tcPr>
            <w:tcW w:w="1992" w:type="dxa"/>
            <w:tcBorders>
              <w:top w:val="nil"/>
              <w:left w:val="nil"/>
              <w:bottom w:val="nil"/>
              <w:right w:val="nil"/>
            </w:tcBorders>
            <w:vAlign w:val="top"/>
          </w:tcPr>
          <w:p>
            <w:pPr>
              <w:tabs>
                <w:tab w:val="right" w:pos="1992"/>
              </w:tabs>
              <w:spacing w:before="0" w:after="0" w:line="259" w:lineRule="auto"/>
              <w:ind w:left="0" w:right="0" w:firstLine="0"/>
              <w:jc w:val="left"/>
            </w:pPr>
            <w:r>
              <w:rPr>
                <w:rFonts w:cs="Calibri" w:hAnsi="Calibri" w:eastAsia="Calibri" w:ascii="Calibri"/>
                <w:sz w:val="17"/>
              </w:rPr>
              <w:t xml:space="preserve">$18,666.47	$89,599.06</w:t>
            </w:r>
          </w:p>
        </w:tc>
      </w:tr>
      <w:tr>
        <w:trPr>
          <w:trHeight w:val="218" w:hRule="atLeast"/>
        </w:trPr>
        <w:tc>
          <w:tcPr>
            <w:tcW w:w="830"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C.</w:t>
            </w:r>
          </w:p>
        </w:tc>
        <w:tc>
          <w:tcPr>
            <w:tcW w:w="477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Zanzibar*Election*Management*Specialist*(P4)</w:t>
            </w:r>
          </w:p>
        </w:tc>
        <w:tc>
          <w:tcPr>
            <w:tcW w:w="2309"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(100%*of*10*months)</w:t>
            </w:r>
          </w:p>
        </w:tc>
        <w:tc>
          <w:tcPr>
            <w:tcW w:w="782" w:type="dxa"/>
            <w:tcBorders>
              <w:top w:val="nil"/>
              <w:left w:val="nil"/>
              <w:bottom w:val="nil"/>
              <w:right w:val="nil"/>
            </w:tcBorders>
            <w:vAlign w:val="top"/>
          </w:tcPr>
          <w:p>
            <w:pPr>
              <w:spacing w:before="0" w:after="0" w:line="259" w:lineRule="auto"/>
              <w:ind w:left="105" w:right="0" w:firstLine="0"/>
              <w:jc w:val="left"/>
            </w:pPr>
            <w:r>
              <w:rPr>
                <w:rFonts w:cs="Calibri" w:hAnsi="Calibri" w:eastAsia="Calibri" w:ascii="Calibri"/>
                <w:sz w:val="17"/>
              </w:rPr>
              <w:t xml:space="preserve">Months</w:t>
            </w:r>
          </w:p>
        </w:tc>
        <w:tc>
          <w:tcPr>
            <w:tcW w:w="1494" w:type="dxa"/>
            <w:tcBorders>
              <w:top w:val="nil"/>
              <w:left w:val="nil"/>
              <w:bottom w:val="nil"/>
              <w:right w:val="nil"/>
            </w:tcBorders>
            <w:vAlign w:val="top"/>
          </w:tcPr>
          <w:p>
            <w:pPr>
              <w:spacing w:before="0" w:after="0" w:line="259" w:lineRule="auto"/>
              <w:ind w:left="367" w:right="0" w:firstLine="0"/>
              <w:jc w:val="left"/>
            </w:pPr>
            <w:r>
              <w:rPr>
                <w:rFonts w:cs="Calibri" w:hAnsi="Calibri" w:eastAsia="Calibri" w:ascii="Calibri"/>
                <w:sz w:val="17"/>
              </w:rPr>
              <w:t xml:space="preserve">10</w:t>
            </w:r>
          </w:p>
        </w:tc>
        <w:tc>
          <w:tcPr>
            <w:tcW w:w="1992" w:type="dxa"/>
            <w:tcBorders>
              <w:top w:val="nil"/>
              <w:left w:val="nil"/>
              <w:bottom w:val="nil"/>
              <w:right w:val="nil"/>
            </w:tcBorders>
            <w:vAlign w:val="top"/>
          </w:tcPr>
          <w:p>
            <w:pPr>
              <w:spacing w:before="0" w:after="0" w:line="259" w:lineRule="auto"/>
              <w:ind w:left="0" w:right="0" w:firstLine="0"/>
            </w:pPr>
            <w:r>
              <w:rPr>
                <w:rFonts w:cs="Calibri" w:hAnsi="Calibri" w:eastAsia="Calibri" w:ascii="Calibri"/>
                <w:sz w:val="17"/>
              </w:rPr>
              <w:t xml:space="preserve">$18,666.47 $****</w:t>
            </w:r>
            <w:r>
              <w:rPr>
                <w:rFonts w:cs="Calibri" w:hAnsi="Calibri" w:eastAsia="Calibri" w:ascii="Calibri"/>
                <w:sz w:val="17"/>
              </w:rPr>
              <w:t xml:space="preserve">*</w:t>
            </w:r>
            <w:r>
              <w:rPr>
                <w:rFonts w:cs="Calibri" w:hAnsi="Calibri" w:eastAsia="Calibri" w:ascii="Calibri"/>
                <w:sz w:val="17"/>
              </w:rPr>
              <w:t xml:space="preserve">186,664.70</w:t>
            </w:r>
          </w:p>
        </w:tc>
      </w:tr>
      <w:tr>
        <w:trPr>
          <w:trHeight w:val="220" w:hRule="atLeast"/>
        </w:trPr>
        <w:tc>
          <w:tcPr>
            <w:tcW w:w="830"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D.</w:t>
            </w:r>
          </w:p>
        </w:tc>
        <w:tc>
          <w:tcPr>
            <w:tcW w:w="477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Senior*Governance*Advisor*(P5)</w:t>
            </w:r>
          </w:p>
        </w:tc>
        <w:tc>
          <w:tcPr>
            <w:tcW w:w="2309" w:type="dxa"/>
            <w:tcBorders>
              <w:top w:val="nil"/>
              <w:left w:val="nil"/>
              <w:bottom w:val="nil"/>
              <w:right w:val="nil"/>
            </w:tcBorders>
            <w:vAlign w:val="top"/>
          </w:tcPr>
          <w:p>
            <w:pPr>
              <w:spacing w:before="0" w:after="0" w:line="259" w:lineRule="auto"/>
              <w:ind w:left="45" w:right="0" w:firstLine="0"/>
              <w:jc w:val="left"/>
            </w:pPr>
            <w:r>
              <w:rPr>
                <w:rFonts w:cs="Calibri" w:hAnsi="Calibri" w:eastAsia="Calibri" w:ascii="Calibri"/>
                <w:sz w:val="17"/>
              </w:rPr>
              <w:t xml:space="preserve">(10%*of*12*months)</w:t>
            </w:r>
          </w:p>
        </w:tc>
        <w:tc>
          <w:tcPr>
            <w:tcW w:w="78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Months</w:t>
            </w:r>
          </w:p>
        </w:tc>
        <w:tc>
          <w:tcPr>
            <w:tcW w:w="1494" w:type="dxa"/>
            <w:tcBorders>
              <w:top w:val="nil"/>
              <w:left w:val="nil"/>
              <w:bottom w:val="nil"/>
              <w:right w:val="nil"/>
            </w:tcBorders>
            <w:vAlign w:val="top"/>
          </w:tcPr>
          <w:p>
            <w:pPr>
              <w:spacing w:before="0" w:after="0" w:line="259" w:lineRule="auto"/>
              <w:ind w:left="345" w:right="0" w:firstLine="0"/>
              <w:jc w:val="left"/>
            </w:pPr>
            <w:r>
              <w:rPr>
                <w:rFonts w:cs="Calibri" w:hAnsi="Calibri" w:eastAsia="Calibri" w:ascii="Calibri"/>
                <w:sz w:val="17"/>
              </w:rPr>
              <w:t xml:space="preserve">1.2</w:t>
            </w:r>
          </w:p>
        </w:tc>
        <w:tc>
          <w:tcPr>
            <w:tcW w:w="1992" w:type="dxa"/>
            <w:tcBorders>
              <w:top w:val="nil"/>
              <w:left w:val="nil"/>
              <w:bottom w:val="nil"/>
              <w:right w:val="nil"/>
            </w:tcBorders>
            <w:vAlign w:val="top"/>
          </w:tcPr>
          <w:p>
            <w:pPr>
              <w:tabs>
                <w:tab w:val="right" w:pos="1992"/>
              </w:tabs>
              <w:spacing w:before="0" w:after="0" w:line="259" w:lineRule="auto"/>
              <w:ind w:left="0" w:right="0" w:firstLine="0"/>
              <w:jc w:val="left"/>
            </w:pPr>
            <w:r>
              <w:rPr>
                <w:rFonts w:cs="Calibri" w:hAnsi="Calibri" w:eastAsia="Calibri" w:ascii="Calibri"/>
                <w:sz w:val="17"/>
              </w:rPr>
              <w:t xml:space="preserve">$21,517.24	$25,820.69</w:t>
            </w:r>
          </w:p>
        </w:tc>
      </w:tr>
      <w:tr>
        <w:trPr>
          <w:trHeight w:val="453" w:hRule="atLeast"/>
        </w:trPr>
        <w:tc>
          <w:tcPr>
            <w:tcW w:w="830"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E.</w:t>
            </w:r>
          </w:p>
          <w:p>
            <w:pPr>
              <w:spacing w:before="0" w:after="0" w:line="259" w:lineRule="auto"/>
              <w:ind w:left="0" w:right="0" w:firstLine="0"/>
              <w:jc w:val="left"/>
            </w:pPr>
            <w:r>
              <w:rPr>
                <w:rFonts w:cs="Calibri" w:hAnsi="Calibri" w:eastAsia="Calibri" w:ascii="Calibri"/>
                <w:sz w:val="17"/>
              </w:rPr>
              <w:t xml:space="preserve">F.</w:t>
            </w:r>
          </w:p>
        </w:tc>
        <w:tc>
          <w:tcPr>
            <w:tcW w:w="477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International*UNVs*8*2*in*Dar*es*Salaam;*1*in*Zanzibar National*UNVs*8*4*In*Dar*es*Salaam;*2*In*Zanzibar</w:t>
            </w:r>
          </w:p>
        </w:tc>
        <w:tc>
          <w:tcPr>
            <w:tcW w:w="2309" w:type="dxa"/>
            <w:tcBorders>
              <w:top w:val="nil"/>
              <w:left w:val="nil"/>
              <w:bottom w:val="nil"/>
              <w:right w:val="nil"/>
            </w:tcBorders>
            <w:vAlign w:val="top"/>
          </w:tcPr>
          <w:p>
            <w:pPr>
              <w:spacing w:before="0" w:after="0" w:line="259" w:lineRule="auto"/>
              <w:ind w:left="45" w:right="0" w:firstLine="0"/>
              <w:jc w:val="left"/>
            </w:pPr>
            <w:r>
              <w:rPr>
                <w:rFonts w:cs="Calibri" w:hAnsi="Calibri" w:eastAsia="Calibri" w:ascii="Calibri"/>
                <w:sz w:val="17"/>
              </w:rPr>
              <w:t xml:space="preserve">(100%*of*6*months)</w:t>
            </w:r>
          </w:p>
          <w:p>
            <w:pPr>
              <w:spacing w:before="0" w:after="0" w:line="259" w:lineRule="auto"/>
              <w:ind w:left="26" w:right="0" w:firstLine="0"/>
              <w:jc w:val="left"/>
            </w:pPr>
            <w:r>
              <w:rPr>
                <w:rFonts w:cs="Calibri" w:hAnsi="Calibri" w:eastAsia="Calibri" w:ascii="Calibri"/>
                <w:sz w:val="17"/>
              </w:rPr>
              <w:t xml:space="preserve">*(100%*of*6*months)</w:t>
            </w:r>
          </w:p>
        </w:tc>
        <w:tc>
          <w:tcPr>
            <w:tcW w:w="782"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Months</w:t>
            </w:r>
          </w:p>
          <w:p>
            <w:pPr>
              <w:spacing w:before="0" w:after="0" w:line="259" w:lineRule="auto"/>
              <w:ind w:left="0" w:right="0" w:firstLine="0"/>
              <w:jc w:val="left"/>
            </w:pPr>
            <w:r>
              <w:rPr>
                <w:rFonts w:cs="Calibri" w:hAnsi="Calibri" w:eastAsia="Calibri" w:ascii="Calibri"/>
                <w:sz w:val="17"/>
                <w:u w:val="single" w:color="000000"/>
              </w:rPr>
              <w:t xml:space="preserve">Months</w:t>
            </w:r>
          </w:p>
        </w:tc>
        <w:tc>
          <w:tcPr>
            <w:tcW w:w="1494" w:type="dxa"/>
            <w:tcBorders>
              <w:top w:val="nil"/>
              <w:left w:val="nil"/>
              <w:bottom w:val="nil"/>
              <w:right w:val="nil"/>
            </w:tcBorders>
            <w:vAlign w:val="top"/>
          </w:tcPr>
          <w:p>
            <w:pPr>
              <w:spacing w:before="0" w:after="5" w:line="259" w:lineRule="auto"/>
              <w:ind w:left="367" w:right="0" w:firstLine="0"/>
              <w:jc w:val="left"/>
            </w:pPr>
            <w:r>
              <w:rPr>
                <w:rFonts w:cs="Calibri" w:hAnsi="Calibri" w:eastAsia="Calibri" w:ascii="Calibri"/>
                <w:sz w:val="17"/>
              </w:rPr>
              <w:t xml:space="preserve">18</w:t>
            </w:r>
          </w:p>
          <w:p>
            <w:pPr>
              <w:spacing w:before="0" w:after="0" w:line="259" w:lineRule="auto"/>
              <w:ind w:left="367" w:right="0" w:firstLine="0"/>
              <w:jc w:val="left"/>
            </w:pPr>
            <w:r>
              <w:rPr>
                <w:rFonts w:cs="Calibri" w:hAnsi="Calibri" w:eastAsia="Calibri" w:ascii="Calibri"/>
                <w:sz w:val="17"/>
                <w:u w:val="single" w:color="000000"/>
              </w:rPr>
              <w:t xml:space="preserve">36</w:t>
            </w:r>
          </w:p>
        </w:tc>
        <w:tc>
          <w:tcPr>
            <w:tcW w:w="1992" w:type="dxa"/>
            <w:tcBorders>
              <w:top w:val="nil"/>
              <w:left w:val="nil"/>
              <w:bottom w:val="nil"/>
              <w:right w:val="nil"/>
            </w:tcBorders>
            <w:vAlign w:val="top"/>
          </w:tcPr>
          <w:p>
            <w:pPr>
              <w:spacing w:before="0" w:after="0" w:line="259" w:lineRule="auto"/>
              <w:ind w:left="0" w:right="0" w:firstLine="0"/>
              <w:jc w:val="right"/>
            </w:pPr>
            <w:r>
              <w:rPr>
                <w:rFonts w:cs="Calibri" w:hAnsi="Calibri" w:eastAsia="Calibri" w:ascii="Calibri"/>
                <w:sz w:val="17"/>
              </w:rPr>
              <w:t xml:space="preserve">$4,795	$86,311.50 </w:t>
            </w:r>
            <w:r>
              <w:rPr>
                <w:rFonts w:cs="Calibri" w:hAnsi="Calibri" w:eastAsia="Calibri" w:ascii="Calibri"/>
                <w:sz w:val="17"/>
                <w:u w:val="single" w:color="000000"/>
              </w:rPr>
              <w:t xml:space="preserve">$746	$26,838.00</w:t>
            </w:r>
          </w:p>
        </w:tc>
      </w:tr>
    </w:tbl>
    <w:p>
      <w:pPr>
        <w:spacing w:before="0" w:after="1" w:line="265" w:lineRule="auto"/>
        <w:ind w:left="10" w:right="240"/>
        <w:jc w:val="right"/>
      </w:pPr>
      <w:r>
        <w:rPr>
          <w:rFonts w:cs="Calibri" w:hAnsi="Calibri" w:eastAsia="Calibri" w:ascii="Calibri"/>
          <w:sz w:val="22"/>
        </w:rPr>
        <w:drawing>
          <wp:anchor simplePos="0" relativeHeight="0" locked="0" layoutInCell="1" allowOverlap="1" behindDoc="0">
            <wp:simplePos x="0" y="0"/>
            <wp:positionH relativeFrom="column">
              <wp:posOffset>-26414</wp:posOffset>
            </wp:positionH>
            <wp:positionV relativeFrom="paragraph">
              <wp:posOffset>-2863</wp:posOffset>
            </wp:positionV>
            <wp:extent cx="7821594" cy="309908"/>
            <wp:wrapSquare wrapText="bothSides"/>
            <wp:docPr id="127232" name="Group 127232"/>
            <wp:cNvGraphicFramePr/>
            <a:graphic>
              <a:graphicData uri="http://schemas.microsoft.com/office/word/2010/wordprocessingGroup">
                <wpg:wgp>
                  <wpg:cNvGrpSpPr/>
                  <wpg:grpSpPr>
                    <a:xfrm>
                      <a:off x="0" y="0"/>
                      <a:ext cx="7821594" cy="309908"/>
                      <a:chOff x="0" y="0"/>
                      <a:chExt cx="7821594" cy="309908"/>
                    </a:xfrm>
                  </wpg:grpSpPr>
                  <wps:wsp>
                    <wps:cNvPr id="172442" name="Shape 172442"/>
                    <wps:cNvSpPr/>
                    <wps:spPr>
                      <a:xfrm>
                        <a:off x="9536" y="152570"/>
                        <a:ext cx="7804906" cy="150186"/>
                      </a:xfrm>
                      <a:custGeom>
                        <a:pathLst>
                          <a:path w="7804906" h="150186">
                            <a:moveTo>
                              <a:pt x="0" y="0"/>
                            </a:moveTo>
                            <a:lnTo>
                              <a:pt x="7804906" y="0"/>
                            </a:lnTo>
                            <a:lnTo>
                              <a:pt x="7804906" y="150186"/>
                            </a:lnTo>
                            <a:lnTo>
                              <a:pt x="0" y="150186"/>
                            </a:lnTo>
                            <a:lnTo>
                              <a:pt x="0" y="0"/>
                            </a:lnTo>
                          </a:path>
                        </a:pathLst>
                      </a:custGeom>
                      <a:ln w="0" cap="flat">
                        <a:miter lim="127000"/>
                      </a:ln>
                    </wps:spPr>
                    <wps:style>
                      <a:lnRef idx="0">
                        <a:srgbClr val="000000">
                          <a:alpha val="0"/>
                        </a:srgbClr>
                      </a:lnRef>
                      <a:fillRef idx="1">
                        <a:srgbClr val="f3dcda"/>
                      </a:fillRef>
                      <a:effectRef idx="0"/>
                      <a:fontRef idx="none"/>
                    </wps:style>
                    <wps:bodyPr/>
                  </wps:wsp>
                  <wps:wsp>
                    <wps:cNvPr id="11113" name="Rectangle 11113"/>
                    <wps:cNvSpPr/>
                    <wps:spPr>
                      <a:xfrm>
                        <a:off x="4229835" y="150666"/>
                        <a:ext cx="3678329" cy="178036"/>
                      </a:xfrm>
                      <a:prstGeom prst="rect">
                        <a:avLst/>
                      </a:prstGeom>
                      <a:ln>
                        <a:noFill/>
                      </a:ln>
                    </wps:spPr>
                    <wps:txbx>
                      <w:txbxContent>
                        <w:p>
                          <w:pPr>
                            <w:spacing w:before="0" w:after="160" w:line="259" w:lineRule="auto"/>
                            <w:ind w:left="0" w:right="0" w:firstLine="0"/>
                            <w:jc w:val="left"/>
                          </w:pPr>
                          <w:r>
                            <w:rPr>
                              <w:rFonts w:cs="Calibri" w:hAnsi="Calibri" w:eastAsia="Calibri" w:ascii="Calibri"/>
                              <w:b w:val="1"/>
                              <w:sz w:val="17"/>
                            </w:rPr>
                            <w:t xml:space="preserve">TOTAL%ESTIMATED%COMPONENT/OUTPUT%COSTS%2013&gt;2014:</w:t>
                          </w:r>
                        </w:p>
                      </w:txbxContent>
                    </wps:txbx>
                    <wps:bodyPr horzOverflow="overflow" rtlCol="0" vert="horz" lIns="0" tIns="0" rIns="0" bIns="0">
                      <a:noAutofit/>
                    </wps:bodyPr>
                  </wps:wsp>
                  <wps:wsp>
                    <wps:cNvPr id="172443" name="Shape 172443"/>
                    <wps:cNvSpPr/>
                    <wps:spPr>
                      <a:xfrm>
                        <a:off x="0" y="143035"/>
                        <a:ext cx="19072" cy="166873"/>
                      </a:xfrm>
                      <a:custGeom>
                        <a:pathLst>
                          <a:path w="19072" h="166873">
                            <a:moveTo>
                              <a:pt x="0" y="0"/>
                            </a:moveTo>
                            <a:lnTo>
                              <a:pt x="19072" y="0"/>
                            </a:lnTo>
                            <a:lnTo>
                              <a:pt x="19072" y="166873"/>
                            </a:lnTo>
                            <a:lnTo>
                              <a:pt x="0" y="166873"/>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4" name="Shape 172444"/>
                    <wps:cNvSpPr/>
                    <wps:spPr>
                      <a:xfrm>
                        <a:off x="7037290" y="162106"/>
                        <a:ext cx="19070" cy="147801"/>
                      </a:xfrm>
                      <a:custGeom>
                        <a:pathLst>
                          <a:path w="19070" h="147801">
                            <a:moveTo>
                              <a:pt x="0" y="0"/>
                            </a:moveTo>
                            <a:lnTo>
                              <a:pt x="19070" y="0"/>
                            </a:lnTo>
                            <a:lnTo>
                              <a:pt x="19070" y="147801"/>
                            </a:lnTo>
                            <a:lnTo>
                              <a:pt x="0" y="147801"/>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5" name="Shape 172445"/>
                    <wps:cNvSpPr/>
                    <wps:spPr>
                      <a:xfrm>
                        <a:off x="7802523" y="162106"/>
                        <a:ext cx="19071" cy="147801"/>
                      </a:xfrm>
                      <a:custGeom>
                        <a:pathLst>
                          <a:path w="19071" h="147801">
                            <a:moveTo>
                              <a:pt x="0" y="0"/>
                            </a:moveTo>
                            <a:lnTo>
                              <a:pt x="19071" y="0"/>
                            </a:lnTo>
                            <a:lnTo>
                              <a:pt x="19071" y="147801"/>
                            </a:lnTo>
                            <a:lnTo>
                              <a:pt x="0" y="147801"/>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6" name="Shape 172446"/>
                    <wps:cNvSpPr/>
                    <wps:spPr>
                      <a:xfrm>
                        <a:off x="4989514" y="0"/>
                        <a:ext cx="2824928" cy="9536"/>
                      </a:xfrm>
                      <a:custGeom>
                        <a:pathLst>
                          <a:path w="2824928" h="9536">
                            <a:moveTo>
                              <a:pt x="0" y="0"/>
                            </a:moveTo>
                            <a:lnTo>
                              <a:pt x="2824928" y="0"/>
                            </a:lnTo>
                            <a:lnTo>
                              <a:pt x="2824928" y="9536"/>
                            </a:lnTo>
                            <a:lnTo>
                              <a:pt x="0" y="9536"/>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7" name="Shape 172447"/>
                    <wps:cNvSpPr/>
                    <wps:spPr>
                      <a:xfrm>
                        <a:off x="19072" y="143035"/>
                        <a:ext cx="7802522" cy="19071"/>
                      </a:xfrm>
                      <a:custGeom>
                        <a:pathLst>
                          <a:path w="7802522" h="19071">
                            <a:moveTo>
                              <a:pt x="0" y="0"/>
                            </a:moveTo>
                            <a:lnTo>
                              <a:pt x="7802522" y="0"/>
                            </a:lnTo>
                            <a:lnTo>
                              <a:pt x="7802522" y="19071"/>
                            </a:lnTo>
                            <a:lnTo>
                              <a:pt x="0" y="19071"/>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48" name="Shape 172448"/>
                    <wps:cNvSpPr/>
                    <wps:spPr>
                      <a:xfrm>
                        <a:off x="19072" y="290838"/>
                        <a:ext cx="7802522" cy="19070"/>
                      </a:xfrm>
                      <a:custGeom>
                        <a:pathLst>
                          <a:path w="7802522" h="19070">
                            <a:moveTo>
                              <a:pt x="0" y="0"/>
                            </a:moveTo>
                            <a:lnTo>
                              <a:pt x="7802522" y="0"/>
                            </a:lnTo>
                            <a:lnTo>
                              <a:pt x="7802522" y="19070"/>
                            </a:lnTo>
                            <a:lnTo>
                              <a:pt x="0" y="1907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b w:val="1"/>
          <w:sz w:val="17"/>
        </w:rPr>
        <w:t xml:space="preserve">$518,516.70</w:t>
      </w:r>
    </w:p>
    <w:p>
      <w:pPr>
        <w:spacing w:before="0" w:after="4806" w:line="265" w:lineRule="auto"/>
        <w:ind w:left="10" w:right="240"/>
        <w:jc w:val="right"/>
      </w:pPr>
      <w:r>
        <w:rPr>
          <w:rFonts w:cs="Calibri" w:hAnsi="Calibri" w:eastAsia="Calibri" w:ascii="Calibri"/>
          <w:b w:val="1"/>
          <w:sz w:val="17"/>
        </w:rPr>
        <w:t xml:space="preserve">$583,748.70</w:t>
      </w:r>
    </w:p>
    <w:p>
      <w:pPr>
        <w:pStyle w:val="heading6"/>
        <w:tabs>
          <w:tab w:val="center" w:pos="6170"/>
          <w:tab w:val="center" w:pos="12067"/>
        </w:tabs>
        <w:spacing w:before="0" w:after="0" w:line="259" w:lineRule="auto"/>
        <w:ind w:left="0" w:right="0"/>
        <w:jc w:val="left"/>
      </w:pPr>
      <w:r>
        <w:rPr>
          <w:rFonts w:cs="Calibri" w:hAnsi="Calibri" w:eastAsia="Calibri" w:ascii="Calibri"/>
          <w:sz w:val="22"/>
        </w:rPr>
        <w:t xml:space="preserve">	</w:t>
      </w:r>
      <w:r>
        <w:rPr/>
        <w:t xml:space="preserve">1*OF*1	</w:t>
      </w:r>
      <w:r>
        <w:rPr/>
        <w:t xml:space="preserve">7/1/13</w:t>
      </w:r>
    </w:p>
    <w:p>
      <w:pPr>
        <w:spacing w:before="0" w:after="192" w:line="259" w:lineRule="auto"/>
        <w:ind w:left="3820" w:right="0" w:firstLine="0"/>
        <w:jc w:val="left"/>
      </w:pPr>
      <w:r>
        <w:rPr>
          <w:rFonts w:cs="Calibri" w:hAnsi="Calibri" w:eastAsia="Calibri" w:ascii="Calibri"/>
          <w:sz w:val="15"/>
        </w:rPr>
        <w:t xml:space="preserve">DEMOCRATIC*EMPOWERMENT*PROJECT*WORK*PLAN*BUDGET*2013*8*2014</w:t>
      </w:r>
    </w:p>
    <w:tbl>
      <w:tblPr>
        <w:tblStyle w:val="TableGrid"/>
        <w:tblW w:w="12292" w:type="dxa"/>
        <w:tblInd w:w="-27" w:type="dxa"/>
        <w:tblCellMar>
          <w:top w:w="0" w:type="dxa"/>
          <w:left w:w="0" w:type="dxa"/>
          <w:bottom w:w="0" w:type="dxa"/>
          <w:right w:w="15" w:type="dxa"/>
        </w:tblCellMar>
      </w:tblPr>
      <w:tblGrid>
        <w:gridCol w:w="8140"/>
        <w:gridCol w:w="937"/>
        <w:gridCol w:w="1272"/>
        <w:gridCol w:w="751"/>
        <w:gridCol w:w="1191"/>
      </w:tblGrid>
      <w:tr>
        <w:trPr>
          <w:trHeight w:val="212" w:hRule="atLeast"/>
        </w:trPr>
        <w:tc>
          <w:tcPr>
            <w:tcW w:w="10350" w:type="dxa"/>
            <w:gridSpan w:val="3"/>
            <w:tcBorders>
              <w:top w:val="nil"/>
              <w:left w:val="nil"/>
              <w:bottom w:val="nil"/>
              <w:right w:val="nil"/>
            </w:tcBorders>
            <w:shd w:val="clear" w:fill="eaf1dd"/>
            <w:vAlign w:val="top"/>
          </w:tcPr>
          <w:p>
            <w:pPr>
              <w:spacing w:before="0" w:after="0" w:line="259" w:lineRule="auto"/>
              <w:ind w:left="86" w:right="0" w:firstLine="0"/>
              <w:jc w:val="left"/>
            </w:pPr>
            <w:r>
              <w:rPr>
                <w:rFonts w:cs="Times New Roman" w:hAnsi="Times New Roman" w:eastAsia="Times New Roman" w:ascii="Times New Roman"/>
                <w:b w:val="1"/>
                <w:sz w:val="17"/>
              </w:rPr>
              <w:t xml:space="preserve">COMPONENT 2:  SUPPORT IMPROVEMENT OF EMB INTEGRITY AND MANAGEMENT CAPACITIES </w:t>
            </w:r>
          </w:p>
        </w:tc>
        <w:tc>
          <w:tcPr>
            <w:tcW w:w="751" w:type="dxa"/>
            <w:tcBorders>
              <w:top w:val="nil"/>
              <w:left w:val="nil"/>
              <w:bottom w:val="nil"/>
              <w:right w:val="nil"/>
            </w:tcBorders>
            <w:shd w:val="clear" w:fill="eaf1dd"/>
            <w:vAlign w:val="top"/>
          </w:tcPr>
          <w:p>
            <w:pPr>
              <w:bidi w:val="0"/>
              <w:spacing w:before="0" w:after="160" w:line="259" w:lineRule="auto"/>
              <w:ind w:left="0" w:right="0" w:firstLine="0"/>
              <w:jc w:val="left"/>
            </w:pPr>
          </w:p>
        </w:tc>
        <w:tc>
          <w:tcPr>
            <w:tcW w:w="1191" w:type="dxa"/>
            <w:tcBorders>
              <w:top w:val="nil"/>
              <w:left w:val="nil"/>
              <w:bottom w:val="nil"/>
              <w:right w:val="nil"/>
            </w:tcBorders>
            <w:shd w:val="clear" w:fill="eaf1dd"/>
            <w:vAlign w:val="top"/>
          </w:tcPr>
          <w:p>
            <w:pPr>
              <w:bidi w:val="0"/>
              <w:spacing w:before="0" w:after="160" w:line="259" w:lineRule="auto"/>
              <w:ind w:left="0" w:right="0" w:firstLine="0"/>
              <w:jc w:val="left"/>
            </w:pPr>
          </w:p>
        </w:tc>
      </w:tr>
      <w:tr>
        <w:trPr>
          <w:trHeight w:val="353" w:hRule="atLeast"/>
        </w:trPr>
        <w:tc>
          <w:tcPr>
            <w:tcW w:w="10350" w:type="dxa"/>
            <w:gridSpan w:val="3"/>
            <w:tcBorders>
              <w:top w:val="nil"/>
              <w:left w:val="nil"/>
              <w:bottom w:val="nil"/>
              <w:right w:val="nil"/>
            </w:tcBorders>
            <w:vAlign w:val="top"/>
          </w:tcPr>
          <w:p>
            <w:pPr>
              <w:spacing w:before="0" w:after="0" w:line="259" w:lineRule="auto"/>
              <w:ind w:left="27" w:right="0" w:firstLine="0"/>
              <w:jc w:val="left"/>
            </w:pPr>
            <w:r>
              <w:rPr>
                <w:rFonts w:cs="Calibri" w:hAnsi="Calibri" w:eastAsia="Calibri" w:ascii="Calibri"/>
                <w:b w:val="1"/>
                <w:sz w:val="15"/>
              </w:rPr>
              <w:t xml:space="preserve">1Output14:1EMBs1staff1professional1development1enhanced.1</w:t>
            </w:r>
          </w:p>
        </w:tc>
        <w:tc>
          <w:tcPr>
            <w:tcW w:w="751" w:type="dxa"/>
            <w:tcBorders>
              <w:top w:val="nil"/>
              <w:left w:val="nil"/>
              <w:bottom w:val="nil"/>
              <w:right w:val="nil"/>
            </w:tcBorders>
            <w:vAlign w:val="top"/>
          </w:tcPr>
          <w:p>
            <w:pPr>
              <w:bidi w:val="0"/>
              <w:spacing w:before="0" w:after="160" w:line="259" w:lineRule="auto"/>
              <w:ind w:left="0" w:right="0" w:firstLine="0"/>
              <w:jc w:val="left"/>
            </w:pPr>
          </w:p>
        </w:tc>
        <w:tc>
          <w:tcPr>
            <w:tcW w:w="1191" w:type="dxa"/>
            <w:tcBorders>
              <w:top w:val="nil"/>
              <w:left w:val="nil"/>
              <w:bottom w:val="nil"/>
              <w:right w:val="nil"/>
            </w:tcBorders>
            <w:vAlign w:val="top"/>
          </w:tcPr>
          <w:p>
            <w:pPr>
              <w:bidi w:val="0"/>
              <w:spacing w:before="0" w:after="160" w:line="259" w:lineRule="auto"/>
              <w:ind w:left="0" w:right="0" w:firstLine="0"/>
              <w:jc w:val="left"/>
            </w:pPr>
          </w:p>
        </w:tc>
      </w:tr>
      <w:tr>
        <w:trPr>
          <w:trHeight w:val="209" w:hRule="atLeast"/>
        </w:trPr>
        <w:tc>
          <w:tcPr>
            <w:tcW w:w="10350" w:type="dxa"/>
            <w:gridSpan w:val="3"/>
            <w:tcBorders>
              <w:top w:val="nil"/>
              <w:left w:val="nil"/>
              <w:bottom w:val="nil"/>
              <w:right w:val="nil"/>
            </w:tcBorders>
            <w:shd w:val="clear" w:fill="dce6f1"/>
            <w:vAlign w:val="top"/>
          </w:tcPr>
          <w:p>
            <w:pPr>
              <w:tabs>
                <w:tab w:val="center" w:pos="379"/>
                <w:tab w:val="center" w:pos="5276"/>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5"/>
              </w:rPr>
              <w:t xml:space="preserve">2.4.1.	</w:t>
            </w:r>
            <w:r>
              <w:rPr>
                <w:rFonts w:cs="Calibri" w:hAnsi="Calibri" w:eastAsia="Calibri" w:ascii="Calibri"/>
                <w:b w:val="1"/>
                <w:sz w:val="15"/>
              </w:rPr>
              <w:t xml:space="preserve">1Develop1EMBs1capacity1to1conduct1the1training1of1trainers1using1BRIDGE1and1train1a1critical1mass1of1EMBs1officials1in1election1administration1</w:t>
            </w:r>
          </w:p>
        </w:tc>
        <w:tc>
          <w:tcPr>
            <w:tcW w:w="75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191"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1669" w:hRule="atLeast"/>
        </w:trPr>
        <w:tc>
          <w:tcPr>
            <w:tcW w:w="8140" w:type="dxa"/>
            <w:tcBorders>
              <w:top w:val="nil"/>
              <w:left w:val="nil"/>
              <w:bottom w:val="nil"/>
              <w:right w:val="nil"/>
            </w:tcBorders>
            <w:vAlign w:val="top"/>
          </w:tcPr>
          <w:p>
            <w:pPr>
              <w:tabs>
                <w:tab w:val="center" w:pos="6415"/>
              </w:tabs>
              <w:spacing w:before="0" w:after="12" w:line="259" w:lineRule="auto"/>
              <w:ind w:left="0" w:right="0" w:firstLine="0"/>
              <w:jc w:val="left"/>
            </w:pPr>
            <w:r>
              <w:rPr>
                <w:rFonts w:cs="Calibri" w:hAnsi="Calibri" w:eastAsia="Calibri" w:ascii="Calibri"/>
                <w:sz w:val="15"/>
              </w:rPr>
              <w:t xml:space="preserve">*A.**Consultant*to*customize*BRIDGE*module*on*Training*of*Facilitators,*conduct*3*	*Intl*Consultant*8*BRIDGE*Training*</w:t>
            </w:r>
          </w:p>
          <w:p>
            <w:pPr>
              <w:tabs>
                <w:tab w:val="center" w:pos="5623"/>
              </w:tabs>
              <w:spacing w:before="0" w:after="34" w:line="259" w:lineRule="auto"/>
              <w:ind w:left="0" w:right="0" w:firstLine="0"/>
              <w:jc w:val="left"/>
            </w:pPr>
            <w:r>
              <w:rPr>
                <w:rFonts w:cs="Calibri" w:hAnsi="Calibri" w:eastAsia="Calibri" w:ascii="Calibri"/>
                <w:sz w:val="15"/>
              </w:rPr>
              <w:t xml:space="preserve">sessions*of*training*(20*persons*each).*	Director*</w:t>
            </w:r>
          </w:p>
          <w:p>
            <w:pPr>
              <w:spacing w:before="0" w:after="5" w:line="259" w:lineRule="auto"/>
              <w:ind w:left="3638" w:right="0" w:firstLine="0"/>
              <w:jc w:val="center"/>
            </w:pPr>
            <w:r>
              <w:rPr>
                <w:rFonts w:cs="Calibri" w:hAnsi="Calibri" w:eastAsia="Calibri" w:ascii="Calibri"/>
                <w:sz w:val="15"/>
              </w:rPr>
              <w:t xml:space="preserve">Consultant*DSA</w:t>
            </w:r>
          </w:p>
          <w:p>
            <w:pPr>
              <w:spacing w:before="0" w:after="5" w:line="259" w:lineRule="auto"/>
              <w:ind w:left="5395" w:right="0" w:firstLine="0"/>
              <w:jc w:val="left"/>
            </w:pPr>
            <w:r>
              <w:rPr>
                <w:rFonts w:cs="Calibri" w:hAnsi="Calibri" w:eastAsia="Calibri" w:ascii="Calibri"/>
                <w:sz w:val="15"/>
              </w:rPr>
              <w:t xml:space="preserve">Intl*Consultant*8*Airfare</w:t>
            </w:r>
          </w:p>
          <w:p>
            <w:pPr>
              <w:spacing w:before="0" w:after="5" w:line="259" w:lineRule="auto"/>
              <w:ind w:left="5395" w:right="0" w:firstLine="0"/>
              <w:jc w:val="left"/>
            </w:pPr>
            <w:r>
              <w:rPr>
                <w:rFonts w:cs="Calibri" w:hAnsi="Calibri" w:eastAsia="Calibri" w:ascii="Calibri"/>
                <w:sz w:val="15"/>
              </w:rPr>
              <w:t xml:space="preserve">National*Consultant*8*Training</w:t>
            </w:r>
          </w:p>
          <w:p>
            <w:pPr>
              <w:spacing w:before="0" w:after="5" w:line="259" w:lineRule="auto"/>
              <w:ind w:left="3638" w:right="0" w:firstLine="0"/>
              <w:jc w:val="center"/>
            </w:pPr>
            <w:r>
              <w:rPr>
                <w:rFonts w:cs="Calibri" w:hAnsi="Calibri" w:eastAsia="Calibri" w:ascii="Calibri"/>
                <w:sz w:val="15"/>
              </w:rPr>
              <w:t xml:space="preserve">Consultant*DSA</w:t>
            </w:r>
          </w:p>
          <w:p>
            <w:pPr>
              <w:spacing w:before="0" w:after="0" w:line="259" w:lineRule="auto"/>
              <w:ind w:left="5395" w:right="0" w:firstLine="0"/>
              <w:jc w:val="left"/>
            </w:pPr>
            <w:r>
              <w:rPr>
                <w:rFonts w:cs="Calibri" w:hAnsi="Calibri" w:eastAsia="Calibri" w:ascii="Calibri"/>
                <w:sz w:val="15"/>
              </w:rPr>
              <w:t xml:space="preserve">National*Consultant*8*Airfare</w:t>
            </w:r>
          </w:p>
        </w:tc>
        <w:tc>
          <w:tcPr>
            <w:tcW w:w="937" w:type="dxa"/>
            <w:tcBorders>
              <w:top w:val="nil"/>
              <w:left w:val="nil"/>
              <w:bottom w:val="nil"/>
              <w:right w:val="nil"/>
            </w:tcBorders>
            <w:vAlign w:val="top"/>
          </w:tcPr>
          <w:p>
            <w:pPr>
              <w:spacing w:before="0" w:after="213" w:line="259" w:lineRule="auto"/>
              <w:ind w:left="-15" w:right="0" w:firstLine="0"/>
              <w:jc w:val="left"/>
            </w:pPr>
            <w:r>
              <w:rPr>
                <w:rFonts w:cs="Calibri" w:hAnsi="Calibri" w:eastAsia="Calibri" w:ascii="Calibri"/>
                <w:sz w:val="15"/>
              </w:rPr>
              <w:t xml:space="preserve">*Days*</w:t>
            </w:r>
          </w:p>
          <w:p>
            <w:pPr>
              <w:spacing w:before="0" w:after="5" w:line="259" w:lineRule="auto"/>
              <w:ind w:left="-15" w:right="0" w:firstLine="0"/>
              <w:jc w:val="left"/>
            </w:pPr>
            <w:r>
              <w:rPr>
                <w:rFonts w:cs="Calibri" w:hAnsi="Calibri" w:eastAsia="Calibri" w:ascii="Calibri"/>
                <w:sz w:val="15"/>
              </w:rPr>
              <w:t xml:space="preserve">*Days*</w:t>
            </w:r>
          </w:p>
          <w:p>
            <w:pPr>
              <w:spacing w:before="0" w:after="5" w:line="259" w:lineRule="auto"/>
              <w:ind w:left="45" w:right="0" w:firstLine="0"/>
              <w:jc w:val="left"/>
            </w:pPr>
            <w:r>
              <w:rPr>
                <w:rFonts w:cs="Calibri" w:hAnsi="Calibri" w:eastAsia="Calibri" w:ascii="Calibri"/>
                <w:sz w:val="15"/>
              </w:rPr>
              <w:t xml:space="preserve">R/T</w:t>
            </w:r>
          </w:p>
          <w:p>
            <w:pPr>
              <w:spacing w:before="0" w:after="5" w:line="259" w:lineRule="auto"/>
              <w:ind w:left="5" w:right="0" w:firstLine="0"/>
              <w:jc w:val="left"/>
            </w:pPr>
            <w:r>
              <w:rPr>
                <w:rFonts w:cs="Calibri" w:hAnsi="Calibri" w:eastAsia="Calibri" w:ascii="Calibri"/>
                <w:sz w:val="15"/>
              </w:rPr>
              <w:t xml:space="preserve">Days</w:t>
            </w:r>
          </w:p>
          <w:p>
            <w:pPr>
              <w:spacing w:before="0" w:after="5" w:line="259" w:lineRule="auto"/>
              <w:ind w:left="5" w:right="0" w:firstLine="0"/>
              <w:jc w:val="left"/>
            </w:pPr>
            <w:r>
              <w:rPr>
                <w:rFonts w:cs="Calibri" w:hAnsi="Calibri" w:eastAsia="Calibri" w:ascii="Calibri"/>
                <w:sz w:val="15"/>
              </w:rPr>
              <w:t xml:space="preserve">Days</w:t>
            </w:r>
          </w:p>
          <w:p>
            <w:pPr>
              <w:spacing w:before="0" w:after="0" w:line="259" w:lineRule="auto"/>
              <w:ind w:left="45" w:right="0" w:firstLine="0"/>
              <w:jc w:val="left"/>
            </w:pPr>
            <w:r>
              <w:rPr>
                <w:rFonts w:cs="Calibri" w:hAnsi="Calibri" w:eastAsia="Calibri" w:ascii="Calibri"/>
                <w:sz w:val="15"/>
              </w:rPr>
              <w:t xml:space="preserve">R/T</w:t>
            </w:r>
          </w:p>
        </w:tc>
        <w:tc>
          <w:tcPr>
            <w:tcW w:w="1272" w:type="dxa"/>
            <w:tcBorders>
              <w:top w:val="nil"/>
              <w:left w:val="nil"/>
              <w:bottom w:val="nil"/>
              <w:right w:val="nil"/>
            </w:tcBorders>
            <w:vAlign w:val="top"/>
          </w:tcPr>
          <w:p>
            <w:pPr>
              <w:spacing w:before="0" w:after="213" w:line="259" w:lineRule="auto"/>
              <w:ind w:left="0" w:right="0" w:firstLine="0"/>
              <w:jc w:val="left"/>
            </w:pPr>
            <w:r>
              <w:rPr>
                <w:rFonts w:cs="Calibri" w:hAnsi="Calibri" w:eastAsia="Calibri" w:ascii="Calibri"/>
                <w:sz w:val="15"/>
              </w:rPr>
              <w:t xml:space="preserve">45</w:t>
            </w:r>
          </w:p>
          <w:p>
            <w:pPr>
              <w:spacing w:before="0" w:after="5" w:line="259" w:lineRule="auto"/>
              <w:ind w:left="3" w:right="0" w:firstLine="0"/>
              <w:jc w:val="left"/>
            </w:pPr>
            <w:r>
              <w:rPr>
                <w:rFonts w:cs="Calibri" w:hAnsi="Calibri" w:eastAsia="Calibri" w:ascii="Calibri"/>
                <w:sz w:val="15"/>
              </w:rPr>
              <w:t xml:space="preserve">60</w:t>
            </w:r>
          </w:p>
          <w:p>
            <w:pPr>
              <w:spacing w:before="0" w:after="5" w:line="259" w:lineRule="auto"/>
              <w:ind w:left="40" w:right="0" w:firstLine="0"/>
              <w:jc w:val="left"/>
            </w:pPr>
            <w:r>
              <w:rPr>
                <w:rFonts w:cs="Calibri" w:hAnsi="Calibri" w:eastAsia="Calibri" w:ascii="Calibri"/>
                <w:sz w:val="15"/>
              </w:rPr>
              <w:t xml:space="preserve">1</w:t>
            </w:r>
          </w:p>
          <w:p>
            <w:pPr>
              <w:spacing w:before="0" w:after="5" w:line="259" w:lineRule="auto"/>
              <w:ind w:left="3" w:right="0" w:firstLine="0"/>
              <w:jc w:val="left"/>
            </w:pPr>
            <w:r>
              <w:rPr>
                <w:rFonts w:cs="Calibri" w:hAnsi="Calibri" w:eastAsia="Calibri" w:ascii="Calibri"/>
                <w:sz w:val="15"/>
              </w:rPr>
              <w:t xml:space="preserve">45</w:t>
            </w:r>
          </w:p>
          <w:p>
            <w:pPr>
              <w:spacing w:before="0" w:after="5" w:line="259" w:lineRule="auto"/>
              <w:ind w:left="3" w:right="0" w:firstLine="0"/>
              <w:jc w:val="left"/>
            </w:pPr>
            <w:r>
              <w:rPr>
                <w:rFonts w:cs="Calibri" w:hAnsi="Calibri" w:eastAsia="Calibri" w:ascii="Calibri"/>
                <w:sz w:val="15"/>
              </w:rPr>
              <w:t xml:space="preserve">20</w:t>
            </w:r>
          </w:p>
          <w:p>
            <w:pPr>
              <w:spacing w:before="0" w:after="0" w:line="259" w:lineRule="auto"/>
              <w:ind w:left="40" w:right="0" w:firstLine="0"/>
              <w:jc w:val="left"/>
            </w:pPr>
            <w:r>
              <w:rPr>
                <w:rFonts w:cs="Calibri" w:hAnsi="Calibri" w:eastAsia="Calibri" w:ascii="Calibri"/>
                <w:sz w:val="15"/>
              </w:rPr>
              <w:t xml:space="preserve">5</w:t>
            </w:r>
          </w:p>
        </w:tc>
        <w:tc>
          <w:tcPr>
            <w:tcW w:w="751" w:type="dxa"/>
            <w:tcBorders>
              <w:top w:val="nil"/>
              <w:left w:val="nil"/>
              <w:bottom w:val="nil"/>
              <w:right w:val="nil"/>
            </w:tcBorders>
            <w:vAlign w:val="top"/>
          </w:tcPr>
          <w:p>
            <w:pPr>
              <w:spacing w:before="0" w:after="213" w:line="259" w:lineRule="auto"/>
              <w:ind w:left="0" w:right="0" w:firstLine="0"/>
              <w:jc w:val="right"/>
            </w:pPr>
            <w:r>
              <w:rPr>
                <w:rFonts w:cs="Calibri" w:hAnsi="Calibri" w:eastAsia="Calibri" w:ascii="Calibri"/>
                <w:sz w:val="15"/>
              </w:rPr>
              <w:t xml:space="preserve">$750.00</w:t>
            </w:r>
          </w:p>
          <w:p>
            <w:pPr>
              <w:spacing w:before="0" w:after="5" w:line="259" w:lineRule="auto"/>
              <w:ind w:left="0" w:right="10" w:firstLine="0"/>
              <w:jc w:val="right"/>
            </w:pPr>
            <w:r>
              <w:rPr>
                <w:rFonts w:cs="Calibri" w:hAnsi="Calibri" w:eastAsia="Calibri" w:ascii="Calibri"/>
                <w:sz w:val="15"/>
              </w:rPr>
              <w:t xml:space="preserve">$216.00</w:t>
            </w:r>
          </w:p>
          <w:p>
            <w:pPr>
              <w:spacing w:before="0" w:after="209" w:line="265" w:lineRule="auto"/>
              <w:ind w:left="0" w:right="10" w:firstLine="0"/>
              <w:jc w:val="right"/>
            </w:pPr>
            <w:r>
              <w:rPr>
                <w:rFonts w:cs="Calibri" w:hAnsi="Calibri" w:eastAsia="Calibri" w:ascii="Calibri"/>
                <w:sz w:val="15"/>
              </w:rPr>
              <w:t xml:space="preserve">$2,500.00 $500.00</w:t>
            </w:r>
          </w:p>
          <w:p>
            <w:pPr>
              <w:spacing w:before="0" w:after="0" w:line="259" w:lineRule="auto"/>
              <w:ind w:left="0" w:right="0" w:firstLine="215"/>
              <w:jc w:val="left"/>
            </w:pPr>
            <w:r>
              <w:rPr>
                <w:rFonts w:cs="Calibri" w:hAnsi="Calibri" w:eastAsia="Calibri" w:ascii="Calibri"/>
                <w:sz w:val="15"/>
              </w:rPr>
              <w:t xml:space="preserve">$100.00 </w:t>
            </w:r>
            <w:r>
              <w:rPr>
                <w:rFonts w:cs="Calibri" w:hAnsi="Calibri" w:eastAsia="Calibri" w:ascii="Calibri"/>
                <w:b w:val="1"/>
                <w:sz w:val="15"/>
              </w:rPr>
              <w:t xml:space="preserve">SUBTOTAL:</w:t>
            </w:r>
          </w:p>
        </w:tc>
        <w:tc>
          <w:tcPr>
            <w:tcW w:w="1191" w:type="dxa"/>
            <w:tcBorders>
              <w:top w:val="nil"/>
              <w:left w:val="nil"/>
              <w:bottom w:val="nil"/>
              <w:right w:val="nil"/>
            </w:tcBorders>
            <w:vAlign w:val="top"/>
          </w:tcPr>
          <w:p>
            <w:pPr>
              <w:spacing w:before="0" w:after="213" w:line="259" w:lineRule="auto"/>
              <w:ind w:left="0" w:right="0" w:firstLine="0"/>
              <w:jc w:val="right"/>
            </w:pPr>
            <w:r>
              <w:rPr>
                <w:rFonts w:cs="Calibri" w:hAnsi="Calibri" w:eastAsia="Calibri" w:ascii="Calibri"/>
                <w:sz w:val="15"/>
              </w:rPr>
              <w:t xml:space="preserve">$33,750.00</w:t>
            </w:r>
          </w:p>
          <w:p>
            <w:pPr>
              <w:spacing w:before="0" w:after="5" w:line="259" w:lineRule="auto"/>
              <w:ind w:left="0" w:right="10" w:firstLine="0"/>
              <w:jc w:val="right"/>
            </w:pPr>
            <w:r>
              <w:rPr>
                <w:rFonts w:cs="Calibri" w:hAnsi="Calibri" w:eastAsia="Calibri" w:ascii="Calibri"/>
                <w:sz w:val="15"/>
              </w:rPr>
              <w:t xml:space="preserve">$12,960.00</w:t>
            </w:r>
          </w:p>
          <w:p>
            <w:pPr>
              <w:spacing w:before="0" w:after="5" w:line="259" w:lineRule="auto"/>
              <w:ind w:left="0" w:right="11" w:firstLine="0"/>
              <w:jc w:val="right"/>
            </w:pPr>
            <w:r>
              <w:rPr>
                <w:rFonts w:cs="Calibri" w:hAnsi="Calibri" w:eastAsia="Calibri" w:ascii="Calibri"/>
                <w:sz w:val="15"/>
              </w:rPr>
              <w:t xml:space="preserve">$2,500.00</w:t>
            </w:r>
          </w:p>
          <w:p>
            <w:pPr>
              <w:spacing w:before="0" w:after="213" w:line="259" w:lineRule="auto"/>
              <w:ind w:left="0" w:right="10" w:firstLine="0"/>
              <w:jc w:val="right"/>
            </w:pPr>
            <w:r>
              <w:rPr>
                <w:rFonts w:cs="Calibri" w:hAnsi="Calibri" w:eastAsia="Calibri" w:ascii="Calibri"/>
                <w:sz w:val="15"/>
              </w:rPr>
              <w:t xml:space="preserve">$22,500.00</w:t>
            </w:r>
          </w:p>
          <w:p>
            <w:pPr>
              <w:spacing w:before="0" w:after="5" w:line="259" w:lineRule="auto"/>
              <w:ind w:left="0" w:right="10" w:firstLine="0"/>
              <w:jc w:val="right"/>
            </w:pPr>
            <w:r>
              <w:rPr>
                <w:rFonts w:cs="Calibri" w:hAnsi="Calibri" w:eastAsia="Calibri" w:ascii="Calibri"/>
                <w:sz w:val="15"/>
              </w:rPr>
              <w:t xml:space="preserve">$500.00</w:t>
            </w:r>
          </w:p>
          <w:p>
            <w:pPr>
              <w:spacing w:before="0" w:after="0" w:line="259" w:lineRule="auto"/>
              <w:ind w:left="30" w:right="0" w:firstLine="0"/>
              <w:jc w:val="center"/>
            </w:pPr>
            <w:r>
              <w:rPr>
                <w:rFonts w:cs="Calibri" w:hAnsi="Calibri" w:eastAsia="Calibri" w:ascii="Calibri"/>
                <w:b w:val="1"/>
                <w:sz w:val="15"/>
              </w:rPr>
              <w:t xml:space="preserve">$72,210.00</w:t>
            </w:r>
          </w:p>
        </w:tc>
      </w:tr>
      <w:tr>
        <w:trPr>
          <w:trHeight w:val="212" w:hRule="atLeast"/>
        </w:trPr>
        <w:tc>
          <w:tcPr>
            <w:tcW w:w="8140" w:type="dxa"/>
            <w:tcBorders>
              <w:top w:val="nil"/>
              <w:left w:val="nil"/>
              <w:bottom w:val="nil"/>
              <w:right w:val="nil"/>
            </w:tcBorders>
            <w:shd w:val="clear" w:fill="dce6f1"/>
            <w:vAlign w:val="top"/>
          </w:tcPr>
          <w:p>
            <w:pPr>
              <w:tabs>
                <w:tab w:val="center" w:pos="393"/>
                <w:tab w:val="center" w:pos="3677"/>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5"/>
              </w:rPr>
              <w:t xml:space="preserve">12.4.2.1	</w:t>
            </w:r>
            <w:r>
              <w:rPr>
                <w:rFonts w:cs="Calibri" w:hAnsi="Calibri" w:eastAsia="Calibri" w:ascii="Calibri"/>
                <w:b w:val="1"/>
                <w:sz w:val="15"/>
              </w:rPr>
              <w:t xml:space="preserve">1Train1a1critical1mass1of1EMB1officials1in1election1adminstration1using1BRIDGE1methodology1</w:t>
            </w:r>
          </w:p>
        </w:tc>
        <w:tc>
          <w:tcPr>
            <w:tcW w:w="937"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27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75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191"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831" w:hRule="atLeast"/>
        </w:trPr>
        <w:tc>
          <w:tcPr>
            <w:tcW w:w="8140" w:type="dxa"/>
            <w:vMerge w:val="restart"/>
            <w:tcBorders>
              <w:top w:val="nil"/>
              <w:left w:val="nil"/>
              <w:bottom w:val="nil"/>
              <w:right w:val="nil"/>
            </w:tcBorders>
            <w:vAlign w:val="top"/>
          </w:tcPr>
          <w:p>
            <w:pPr>
              <w:spacing w:before="0" w:after="22" w:line="279" w:lineRule="auto"/>
              <w:ind w:left="26" w:right="292" w:firstLine="1"/>
            </w:pPr>
            <w:r>
              <w:rPr>
                <w:rFonts w:cs="Calibri" w:hAnsi="Calibri" w:eastAsia="Calibri" w:ascii="Calibri"/>
                <w:sz w:val="15"/>
              </w:rPr>
              <w:t xml:space="preserve">*A.**Study*of*factors*and*requirements*to*build*a*sustainable*BRIDGE*training* *Intl*Consultant*8*EMB/BRIDGE*Training* mechanism*for*NEC*&amp;*ZEC.**Considerations*will*include:**future*staffing*patterns*of* Expert* each*EMB,*resource*requirements,*opportunities*to*include*trainees*from*outside* Consultant*DSA</w:t>
            </w:r>
          </w:p>
          <w:p>
            <w:pPr>
              <w:tabs>
                <w:tab w:val="center" w:pos="6132"/>
              </w:tabs>
              <w:spacing w:before="0" w:after="0" w:line="259" w:lineRule="auto"/>
              <w:ind w:left="0" w:right="0" w:firstLine="0"/>
              <w:jc w:val="left"/>
            </w:pPr>
            <w:r>
              <w:rPr>
                <w:rFonts w:cs="Calibri" w:hAnsi="Calibri" w:eastAsia="Calibri" w:ascii="Calibri"/>
                <w:sz w:val="15"/>
              </w:rPr>
              <w:t xml:space="preserve">EMBs,*etc.*	Intl*Consultant*8*Airfare</w:t>
            </w:r>
          </w:p>
        </w:tc>
        <w:tc>
          <w:tcPr>
            <w:tcW w:w="937" w:type="dxa"/>
            <w:tcBorders>
              <w:top w:val="nil"/>
              <w:left w:val="nil"/>
              <w:bottom w:val="double" w:sz="5" w:color="000000"/>
              <w:right w:val="nil"/>
            </w:tcBorders>
            <w:vAlign w:val="top"/>
          </w:tcPr>
          <w:p>
            <w:pPr>
              <w:spacing w:before="0" w:after="213" w:line="259" w:lineRule="auto"/>
              <w:ind w:left="-15" w:right="0" w:firstLine="0"/>
              <w:jc w:val="left"/>
            </w:pPr>
            <w:r>
              <w:rPr>
                <w:rFonts w:cs="Calibri" w:hAnsi="Calibri" w:eastAsia="Calibri" w:ascii="Calibri"/>
                <w:sz w:val="15"/>
              </w:rPr>
              <w:t xml:space="preserve">*Days*</w:t>
            </w:r>
          </w:p>
          <w:p>
            <w:pPr>
              <w:spacing w:before="0" w:after="0" w:line="259" w:lineRule="auto"/>
              <w:ind w:left="-15" w:right="0" w:firstLine="0"/>
              <w:jc w:val="left"/>
            </w:pPr>
            <w:r>
              <w:rPr>
                <w:rFonts w:cs="Calibri" w:hAnsi="Calibri" w:eastAsia="Calibri" w:ascii="Calibri"/>
                <w:sz w:val="15"/>
              </w:rPr>
              <w:t xml:space="preserve">*Days*</w:t>
            </w:r>
          </w:p>
          <w:p>
            <w:pPr>
              <w:spacing w:before="0" w:after="0" w:line="259" w:lineRule="auto"/>
              <w:ind w:left="45" w:right="0" w:firstLine="0"/>
              <w:jc w:val="left"/>
            </w:pPr>
            <w:r>
              <w:rPr>
                <w:rFonts w:cs="Calibri" w:hAnsi="Calibri" w:eastAsia="Calibri" w:ascii="Calibri"/>
                <w:sz w:val="15"/>
              </w:rPr>
              <w:t xml:space="preserve">R/T</w:t>
            </w:r>
          </w:p>
        </w:tc>
        <w:tc>
          <w:tcPr>
            <w:tcW w:w="1272" w:type="dxa"/>
            <w:tcBorders>
              <w:top w:val="nil"/>
              <w:left w:val="nil"/>
              <w:bottom w:val="double" w:sz="5" w:color="000000"/>
              <w:right w:val="nil"/>
            </w:tcBorders>
            <w:vAlign w:val="top"/>
          </w:tcPr>
          <w:p>
            <w:pPr>
              <w:spacing w:before="0" w:after="213" w:line="259" w:lineRule="auto"/>
              <w:ind w:left="0" w:right="0" w:firstLine="0"/>
              <w:jc w:val="left"/>
            </w:pPr>
            <w:r>
              <w:rPr>
                <w:rFonts w:cs="Calibri" w:hAnsi="Calibri" w:eastAsia="Calibri" w:ascii="Calibri"/>
                <w:sz w:val="15"/>
              </w:rPr>
              <w:t xml:space="preserve">30</w:t>
            </w:r>
          </w:p>
          <w:p>
            <w:pPr>
              <w:spacing w:before="0" w:after="0" w:line="259" w:lineRule="auto"/>
              <w:ind w:left="3" w:right="0" w:firstLine="0"/>
              <w:jc w:val="left"/>
            </w:pPr>
            <w:r>
              <w:rPr>
                <w:rFonts w:cs="Calibri" w:hAnsi="Calibri" w:eastAsia="Calibri" w:ascii="Calibri"/>
                <w:sz w:val="15"/>
              </w:rPr>
              <w:t xml:space="preserve">46</w:t>
            </w:r>
          </w:p>
          <w:p>
            <w:pPr>
              <w:spacing w:before="0" w:after="0" w:line="259" w:lineRule="auto"/>
              <w:ind w:left="40" w:right="0" w:firstLine="0"/>
              <w:jc w:val="left"/>
            </w:pPr>
            <w:r>
              <w:rPr>
                <w:rFonts w:cs="Calibri" w:hAnsi="Calibri" w:eastAsia="Calibri" w:ascii="Calibri"/>
                <w:sz w:val="15"/>
              </w:rPr>
              <w:t xml:space="preserve">1</w:t>
            </w:r>
          </w:p>
        </w:tc>
        <w:tc>
          <w:tcPr>
            <w:tcW w:w="751" w:type="dxa"/>
            <w:tcBorders>
              <w:top w:val="nil"/>
              <w:left w:val="nil"/>
              <w:bottom w:val="double" w:sz="5" w:color="000000"/>
              <w:right w:val="nil"/>
            </w:tcBorders>
            <w:vAlign w:val="top"/>
          </w:tcPr>
          <w:p>
            <w:pPr>
              <w:spacing w:before="0" w:after="213" w:line="259" w:lineRule="auto"/>
              <w:ind w:left="0" w:right="0" w:firstLine="0"/>
              <w:jc w:val="right"/>
            </w:pPr>
            <w:r>
              <w:rPr>
                <w:rFonts w:cs="Calibri" w:hAnsi="Calibri" w:eastAsia="Calibri" w:ascii="Calibri"/>
                <w:sz w:val="15"/>
              </w:rPr>
              <w:t xml:space="preserve">$750.00</w:t>
            </w:r>
          </w:p>
          <w:p>
            <w:pPr>
              <w:spacing w:before="0" w:after="0" w:line="259" w:lineRule="auto"/>
              <w:ind w:left="0" w:right="10" w:firstLine="0"/>
              <w:jc w:val="right"/>
            </w:pPr>
            <w:r>
              <w:rPr>
                <w:rFonts w:cs="Calibri" w:hAnsi="Calibri" w:eastAsia="Calibri" w:ascii="Calibri"/>
                <w:sz w:val="15"/>
              </w:rPr>
              <w:t xml:space="preserve">$216.00 $2,500.00</w:t>
            </w:r>
          </w:p>
        </w:tc>
        <w:tc>
          <w:tcPr>
            <w:tcW w:w="1191" w:type="dxa"/>
            <w:tcBorders>
              <w:top w:val="nil"/>
              <w:left w:val="nil"/>
              <w:bottom w:val="double" w:sz="5" w:color="000000"/>
              <w:right w:val="nil"/>
            </w:tcBorders>
            <w:vAlign w:val="top"/>
          </w:tcPr>
          <w:p>
            <w:pPr>
              <w:spacing w:before="0" w:after="213" w:line="259" w:lineRule="auto"/>
              <w:ind w:left="0" w:right="10" w:firstLine="0"/>
              <w:jc w:val="right"/>
            </w:pPr>
            <w:r>
              <w:rPr>
                <w:rFonts w:cs="Calibri" w:hAnsi="Calibri" w:eastAsia="Calibri" w:ascii="Calibri"/>
                <w:sz w:val="15"/>
              </w:rPr>
              <w:t xml:space="preserve">$22,500.00</w:t>
            </w:r>
          </w:p>
          <w:p>
            <w:pPr>
              <w:spacing w:before="0" w:after="0" w:line="259" w:lineRule="auto"/>
              <w:ind w:left="0" w:right="11" w:firstLine="0"/>
              <w:jc w:val="right"/>
            </w:pPr>
            <w:r>
              <w:rPr>
                <w:rFonts w:cs="Calibri" w:hAnsi="Calibri" w:eastAsia="Calibri" w:ascii="Calibri"/>
                <w:sz w:val="15"/>
              </w:rPr>
              <w:t xml:space="preserve">$9,936.00</w:t>
            </w:r>
          </w:p>
          <w:p>
            <w:pPr>
              <w:spacing w:before="0" w:after="0" w:line="259" w:lineRule="auto"/>
              <w:ind w:left="0" w:right="11" w:firstLine="0"/>
              <w:jc w:val="right"/>
            </w:pPr>
            <w:r>
              <w:rPr>
                <w:rFonts w:cs="Calibri" w:hAnsi="Calibri" w:eastAsia="Calibri" w:ascii="Calibri"/>
                <w:sz w:val="15"/>
              </w:rPr>
              <w:t xml:space="preserve">$2,500.00</w:t>
            </w:r>
          </w:p>
        </w:tc>
      </w:tr>
      <w:tr>
        <w:trPr>
          <w:trHeight w:val="209"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37" w:type="dxa"/>
            <w:tcBorders>
              <w:top w:val="double" w:sz="5" w:color="000000"/>
              <w:left w:val="nil"/>
              <w:bottom w:val="nil"/>
              <w:right w:val="nil"/>
            </w:tcBorders>
            <w:vAlign w:val="top"/>
          </w:tcPr>
          <w:p>
            <w:pPr>
              <w:bidi w:val="0"/>
              <w:spacing w:before="0" w:after="160" w:line="259" w:lineRule="auto"/>
              <w:ind w:left="0" w:right="0" w:firstLine="0"/>
              <w:jc w:val="left"/>
            </w:pPr>
          </w:p>
        </w:tc>
        <w:tc>
          <w:tcPr>
            <w:tcW w:w="1272" w:type="dxa"/>
            <w:tcBorders>
              <w:top w:val="double" w:sz="5" w:color="000000"/>
              <w:left w:val="nil"/>
              <w:bottom w:val="nil"/>
              <w:right w:val="nil"/>
            </w:tcBorders>
            <w:vAlign w:val="top"/>
          </w:tcPr>
          <w:p>
            <w:pPr>
              <w:bidi w:val="0"/>
              <w:spacing w:before="0" w:after="160" w:line="259" w:lineRule="auto"/>
              <w:ind w:left="0" w:right="0" w:firstLine="0"/>
              <w:jc w:val="left"/>
            </w:pPr>
          </w:p>
        </w:tc>
        <w:tc>
          <w:tcPr>
            <w:tcW w:w="751" w:type="dxa"/>
            <w:tcBorders>
              <w:top w:val="double" w:sz="5" w:color="000000"/>
              <w:left w:val="nil"/>
              <w:bottom w:val="nil"/>
              <w:right w:val="nil"/>
            </w:tcBorders>
            <w:vAlign w:val="top"/>
          </w:tcPr>
          <w:p>
            <w:pPr>
              <w:spacing w:before="0" w:after="0" w:line="259" w:lineRule="auto"/>
              <w:ind w:left="0" w:right="0" w:firstLine="0"/>
            </w:pPr>
            <w:r>
              <w:rPr>
                <w:rFonts w:cs="Calibri" w:hAnsi="Calibri" w:eastAsia="Calibri" w:ascii="Calibri"/>
                <w:b w:val="1"/>
                <w:sz w:val="15"/>
              </w:rPr>
              <w:t xml:space="preserve">SUBTOTAL:</w:t>
            </w:r>
          </w:p>
        </w:tc>
        <w:tc>
          <w:tcPr>
            <w:tcW w:w="1191" w:type="dxa"/>
            <w:tcBorders>
              <w:top w:val="double" w:sz="5" w:color="000000"/>
              <w:left w:val="nil"/>
              <w:bottom w:val="nil"/>
              <w:right w:val="nil"/>
            </w:tcBorders>
            <w:vAlign w:val="top"/>
          </w:tcPr>
          <w:p>
            <w:pPr>
              <w:spacing w:before="0" w:after="0" w:line="259" w:lineRule="auto"/>
              <w:ind w:left="30" w:right="0" w:firstLine="0"/>
              <w:jc w:val="center"/>
            </w:pPr>
            <w:r>
              <w:rPr>
                <w:rFonts w:cs="Calibri" w:hAnsi="Calibri" w:eastAsia="Calibri" w:ascii="Calibri"/>
                <w:b w:val="1"/>
                <w:sz w:val="15"/>
              </w:rPr>
              <w:t xml:space="preserve">$34,936.00</w:t>
            </w:r>
          </w:p>
        </w:tc>
      </w:tr>
      <w:tr>
        <w:trPr>
          <w:trHeight w:val="199" w:hRule="atLeast"/>
        </w:trPr>
        <w:tc>
          <w:tcPr>
            <w:tcW w:w="10350" w:type="dxa"/>
            <w:gridSpan w:val="3"/>
            <w:tcBorders>
              <w:top w:val="nil"/>
              <w:left w:val="nil"/>
              <w:bottom w:val="nil"/>
              <w:right w:val="nil"/>
            </w:tcBorders>
            <w:shd w:val="clear" w:fill="dce6f1"/>
            <w:vAlign w:val="top"/>
          </w:tcPr>
          <w:p>
            <w:pPr>
              <w:tabs>
                <w:tab w:val="center" w:pos="379"/>
                <w:tab w:val="center" w:pos="4987"/>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5"/>
              </w:rPr>
              <w:t xml:space="preserve">2.4.3.	</w:t>
            </w:r>
            <w:r>
              <w:rPr>
                <w:rFonts w:cs="Calibri" w:hAnsi="Calibri" w:eastAsia="Calibri" w:ascii="Calibri"/>
                <w:b w:val="1"/>
                <w:sz w:val="15"/>
              </w:rPr>
              <w:t xml:space="preserve">1Support1study1missions1and1staff1exchanges1to1promote1experience1sharing1and1skills1transfer1between1the1two1EMBs1and1beyond.1</w:t>
            </w:r>
          </w:p>
        </w:tc>
        <w:tc>
          <w:tcPr>
            <w:tcW w:w="75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191"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986" w:hRule="atLeast"/>
        </w:trPr>
        <w:tc>
          <w:tcPr>
            <w:tcW w:w="8140" w:type="dxa"/>
            <w:vMerge w:val="restart"/>
            <w:tcBorders>
              <w:top w:val="nil"/>
              <w:left w:val="nil"/>
              <w:bottom w:val="single" w:sz="11" w:color="000000"/>
              <w:right w:val="nil"/>
            </w:tcBorders>
            <w:vAlign w:val="top"/>
          </w:tcPr>
          <w:p>
            <w:pPr>
              <w:tabs>
                <w:tab w:val="center" w:pos="6038"/>
              </w:tabs>
              <w:spacing w:before="0" w:after="0" w:line="259" w:lineRule="auto"/>
              <w:ind w:left="0" w:right="0" w:firstLine="0"/>
              <w:jc w:val="left"/>
            </w:pPr>
            <w:r>
              <w:rPr>
                <w:rFonts w:cs="Calibri" w:hAnsi="Calibri" w:eastAsia="Calibri" w:ascii="Calibri"/>
                <w:sz w:val="15"/>
              </w:rPr>
              <w:t xml:space="preserve">*A.**Commissioners/staff*travel*to*attend*international*conference(s)**on*election*	</w:t>
            </w:r>
            <w:r>
              <w:rPr>
                <w:rFonts w:cs="Calibri" w:hAnsi="Calibri" w:eastAsia="Calibri" w:ascii="Calibri"/>
                <w:sz w:val="24"/>
                <w:vertAlign w:val="superscript"/>
              </w:rPr>
              <w:t xml:space="preserve">International*Airfare</w:t>
            </w:r>
          </w:p>
          <w:p>
            <w:pPr>
              <w:spacing w:before="0" w:after="0" w:line="216" w:lineRule="auto"/>
              <w:ind w:left="28" w:right="0" w:firstLine="5367"/>
            </w:pPr>
            <w:r>
              <w:rPr>
                <w:rFonts w:cs="Calibri" w:hAnsi="Calibri" w:eastAsia="Calibri" w:ascii="Calibri"/>
                <w:sz w:val="15"/>
              </w:rPr>
              <w:t xml:space="preserve">Consultant*DSA management*or*other*topics*related*to*the*conduct*of*elections*or*to*observe*</w:t>
            </w:r>
          </w:p>
          <w:p>
            <w:pPr>
              <w:spacing w:before="0" w:after="0" w:line="259" w:lineRule="auto"/>
              <w:ind w:left="3710" w:right="0" w:firstLine="0"/>
              <w:jc w:val="center"/>
            </w:pPr>
            <w:r>
              <w:rPr>
                <w:rFonts w:cs="Calibri" w:hAnsi="Calibri" w:eastAsia="Calibri" w:ascii="Calibri"/>
                <w:sz w:val="15"/>
              </w:rPr>
              <w:t xml:space="preserve">Conference*Fees</w:t>
            </w:r>
          </w:p>
          <w:p>
            <w:pPr>
              <w:tabs>
                <w:tab w:val="center" w:pos="5845"/>
              </w:tabs>
              <w:spacing w:before="0" w:after="0" w:line="259" w:lineRule="auto"/>
              <w:ind w:left="0" w:right="0" w:firstLine="0"/>
              <w:jc w:val="left"/>
            </w:pPr>
            <w:r>
              <w:rPr>
                <w:rFonts w:cs="Calibri" w:hAnsi="Calibri" w:eastAsia="Calibri" w:ascii="Calibri"/>
                <w:sz w:val="24"/>
                <w:vertAlign w:val="superscript"/>
              </w:rPr>
              <w:t xml:space="preserve">elections*	</w:t>
            </w:r>
            <w:r>
              <w:rPr>
                <w:rFonts w:cs="Calibri" w:hAnsi="Calibri" w:eastAsia="Calibri" w:ascii="Calibri"/>
                <w:sz w:val="15"/>
              </w:rPr>
              <w:t xml:space="preserve">Vehicle*Rental</w:t>
            </w:r>
          </w:p>
          <w:p>
            <w:pPr>
              <w:spacing w:before="0" w:after="0" w:line="259" w:lineRule="auto"/>
              <w:ind w:left="5395" w:right="0" w:firstLine="0"/>
              <w:jc w:val="left"/>
            </w:pPr>
            <w:r>
              <w:rPr>
                <w:rFonts w:cs="Calibri" w:hAnsi="Calibri" w:eastAsia="Calibri" w:ascii="Calibri"/>
                <w:sz w:val="15"/>
              </w:rPr>
              <w:t xml:space="preserve">Other*Travel*Costs</w:t>
            </w:r>
          </w:p>
        </w:tc>
        <w:tc>
          <w:tcPr>
            <w:tcW w:w="2210" w:type="dxa"/>
            <w:gridSpan w:val="2"/>
            <w:tcBorders>
              <w:top w:val="nil"/>
              <w:left w:val="nil"/>
              <w:bottom w:val="double" w:sz="5" w:color="000000"/>
              <w:right w:val="nil"/>
            </w:tcBorders>
            <w:vAlign w:val="top"/>
          </w:tcPr>
          <w:p>
            <w:pPr>
              <w:tabs>
                <w:tab w:val="center" w:pos="1017"/>
              </w:tabs>
              <w:spacing w:before="0" w:after="0" w:line="259" w:lineRule="auto"/>
              <w:ind w:left="0" w:right="0" w:firstLine="0"/>
              <w:jc w:val="left"/>
            </w:pPr>
            <w:r>
              <w:rPr>
                <w:rFonts w:cs="Calibri" w:hAnsi="Calibri" w:eastAsia="Calibri" w:ascii="Calibri"/>
                <w:sz w:val="15"/>
              </w:rPr>
              <w:t xml:space="preserve">Pool	</w:t>
            </w:r>
            <w:r>
              <w:rPr>
                <w:rFonts w:cs="Calibri" w:hAnsi="Calibri" w:eastAsia="Calibri" w:ascii="Calibri"/>
                <w:sz w:val="15"/>
              </w:rPr>
              <w:t xml:space="preserve">1</w:t>
            </w:r>
          </w:p>
          <w:p>
            <w:pPr>
              <w:tabs>
                <w:tab w:val="center" w:pos="1017"/>
              </w:tabs>
              <w:spacing w:before="0" w:after="0" w:line="259" w:lineRule="auto"/>
              <w:ind w:left="0" w:right="0" w:firstLine="0"/>
              <w:jc w:val="left"/>
            </w:pPr>
            <w:r>
              <w:rPr>
                <w:rFonts w:cs="Calibri" w:hAnsi="Calibri" w:eastAsia="Calibri" w:ascii="Calibri"/>
                <w:sz w:val="15"/>
              </w:rPr>
              <w:t xml:space="preserve">Pool	</w:t>
            </w:r>
            <w:r>
              <w:rPr>
                <w:rFonts w:cs="Calibri" w:hAnsi="Calibri" w:eastAsia="Calibri" w:ascii="Calibri"/>
                <w:sz w:val="15"/>
              </w:rPr>
              <w:t xml:space="preserve">1</w:t>
            </w:r>
          </w:p>
          <w:p>
            <w:pPr>
              <w:tabs>
                <w:tab w:val="center" w:pos="1017"/>
              </w:tabs>
              <w:spacing w:before="0" w:after="0" w:line="259" w:lineRule="auto"/>
              <w:ind w:left="0" w:right="0" w:firstLine="0"/>
              <w:jc w:val="left"/>
            </w:pPr>
            <w:r>
              <w:rPr>
                <w:rFonts w:cs="Calibri" w:hAnsi="Calibri" w:eastAsia="Calibri" w:ascii="Calibri"/>
                <w:sz w:val="15"/>
              </w:rPr>
              <w:t xml:space="preserve">Pool	</w:t>
            </w:r>
            <w:r>
              <w:rPr>
                <w:rFonts w:cs="Calibri" w:hAnsi="Calibri" w:eastAsia="Calibri" w:ascii="Calibri"/>
                <w:sz w:val="15"/>
              </w:rPr>
              <w:t xml:space="preserve">1</w:t>
            </w:r>
          </w:p>
          <w:p>
            <w:pPr>
              <w:tabs>
                <w:tab w:val="center" w:pos="1017"/>
              </w:tabs>
              <w:spacing w:before="0" w:after="0" w:line="259" w:lineRule="auto"/>
              <w:ind w:left="0" w:right="0" w:firstLine="0"/>
              <w:jc w:val="left"/>
            </w:pPr>
            <w:r>
              <w:rPr>
                <w:rFonts w:cs="Calibri" w:hAnsi="Calibri" w:eastAsia="Calibri" w:ascii="Calibri"/>
                <w:sz w:val="15"/>
              </w:rPr>
              <w:t xml:space="preserve">Pool	</w:t>
            </w:r>
            <w:r>
              <w:rPr>
                <w:rFonts w:cs="Calibri" w:hAnsi="Calibri" w:eastAsia="Calibri" w:ascii="Calibri"/>
                <w:sz w:val="15"/>
              </w:rPr>
              <w:t xml:space="preserve">1</w:t>
            </w:r>
          </w:p>
          <w:p>
            <w:pPr>
              <w:tabs>
                <w:tab w:val="center" w:pos="1017"/>
              </w:tabs>
              <w:spacing w:before="0" w:after="0" w:line="259" w:lineRule="auto"/>
              <w:ind w:left="0" w:right="0" w:firstLine="0"/>
              <w:jc w:val="left"/>
            </w:pPr>
            <w:r>
              <w:rPr>
                <w:rFonts w:cs="Calibri" w:hAnsi="Calibri" w:eastAsia="Calibri" w:ascii="Calibri"/>
                <w:sz w:val="15"/>
              </w:rPr>
              <w:t xml:space="preserve">Pool	</w:t>
            </w:r>
            <w:r>
              <w:rPr>
                <w:rFonts w:cs="Calibri" w:hAnsi="Calibri" w:eastAsia="Calibri" w:ascii="Calibri"/>
                <w:sz w:val="15"/>
              </w:rPr>
              <w:t xml:space="preserve">1</w:t>
            </w:r>
          </w:p>
        </w:tc>
        <w:tc>
          <w:tcPr>
            <w:tcW w:w="751" w:type="dxa"/>
            <w:tcBorders>
              <w:top w:val="nil"/>
              <w:left w:val="nil"/>
              <w:bottom w:val="double" w:sz="5" w:color="000000"/>
              <w:right w:val="nil"/>
            </w:tcBorders>
            <w:vAlign w:val="top"/>
          </w:tcPr>
          <w:p>
            <w:pPr>
              <w:spacing w:before="0" w:after="0" w:line="248" w:lineRule="auto"/>
              <w:ind w:left="0" w:right="10" w:firstLine="0"/>
              <w:jc w:val="right"/>
            </w:pPr>
            <w:r>
              <w:rPr>
                <w:rFonts w:cs="Calibri" w:hAnsi="Calibri" w:eastAsia="Calibri" w:ascii="Calibri"/>
                <w:sz w:val="15"/>
              </w:rPr>
              <w:t xml:space="preserve">$10,000.00 $5,000.00</w:t>
            </w:r>
          </w:p>
          <w:p>
            <w:pPr>
              <w:spacing w:before="0" w:after="0" w:line="259" w:lineRule="auto"/>
              <w:ind w:left="98" w:right="0" w:firstLine="0"/>
              <w:jc w:val="left"/>
            </w:pPr>
            <w:r>
              <w:rPr>
                <w:rFonts w:cs="Calibri" w:hAnsi="Calibri" w:eastAsia="Calibri" w:ascii="Calibri"/>
                <w:sz w:val="15"/>
              </w:rPr>
              <w:t xml:space="preserve">$5,000.00</w:t>
            </w:r>
          </w:p>
          <w:p>
            <w:pPr>
              <w:spacing w:before="0" w:after="0" w:line="259" w:lineRule="auto"/>
              <w:ind w:left="98" w:right="0" w:firstLine="0"/>
              <w:jc w:val="left"/>
            </w:pPr>
            <w:r>
              <w:rPr>
                <w:rFonts w:cs="Calibri" w:hAnsi="Calibri" w:eastAsia="Calibri" w:ascii="Calibri"/>
                <w:sz w:val="15"/>
              </w:rPr>
              <w:t xml:space="preserve">$5,000.00</w:t>
            </w:r>
          </w:p>
          <w:p>
            <w:pPr>
              <w:spacing w:before="0" w:after="0" w:line="259" w:lineRule="auto"/>
              <w:ind w:left="98" w:right="0" w:firstLine="0"/>
              <w:jc w:val="left"/>
            </w:pPr>
            <w:r>
              <w:rPr>
                <w:rFonts w:cs="Calibri" w:hAnsi="Calibri" w:eastAsia="Calibri" w:ascii="Calibri"/>
                <w:sz w:val="15"/>
              </w:rPr>
              <w:t xml:space="preserve">$5,000.00</w:t>
            </w:r>
          </w:p>
        </w:tc>
        <w:tc>
          <w:tcPr>
            <w:tcW w:w="1191" w:type="dxa"/>
            <w:tcBorders>
              <w:top w:val="nil"/>
              <w:left w:val="nil"/>
              <w:bottom w:val="double" w:sz="5" w:color="000000"/>
              <w:right w:val="nil"/>
            </w:tcBorders>
            <w:vAlign w:val="top"/>
          </w:tcPr>
          <w:p>
            <w:pPr>
              <w:spacing w:before="0" w:after="0" w:line="248" w:lineRule="auto"/>
              <w:ind w:left="538" w:right="0" w:hanging="77"/>
              <w:jc w:val="left"/>
            </w:pPr>
            <w:r>
              <w:rPr>
                <w:rFonts w:cs="Calibri" w:hAnsi="Calibri" w:eastAsia="Calibri" w:ascii="Calibri"/>
                <w:sz w:val="15"/>
              </w:rPr>
              <w:t xml:space="preserve">$10,000.00 $5,000.00</w:t>
            </w:r>
          </w:p>
          <w:p>
            <w:pPr>
              <w:spacing w:before="0" w:after="0" w:line="259" w:lineRule="auto"/>
              <w:ind w:left="0" w:right="11" w:firstLine="0"/>
              <w:jc w:val="right"/>
            </w:pPr>
            <w:r>
              <w:rPr>
                <w:rFonts w:cs="Calibri" w:hAnsi="Calibri" w:eastAsia="Calibri" w:ascii="Calibri"/>
                <w:sz w:val="15"/>
              </w:rPr>
              <w:t xml:space="preserve">$5,000.00</w:t>
            </w:r>
          </w:p>
          <w:p>
            <w:pPr>
              <w:spacing w:before="0" w:after="0" w:line="259" w:lineRule="auto"/>
              <w:ind w:left="0" w:right="11" w:firstLine="0"/>
              <w:jc w:val="right"/>
            </w:pPr>
            <w:r>
              <w:rPr>
                <w:rFonts w:cs="Calibri" w:hAnsi="Calibri" w:eastAsia="Calibri" w:ascii="Calibri"/>
                <w:sz w:val="15"/>
              </w:rPr>
              <w:t xml:space="preserve">$5,000.00</w:t>
            </w:r>
          </w:p>
          <w:p>
            <w:pPr>
              <w:spacing w:before="0" w:after="0" w:line="259" w:lineRule="auto"/>
              <w:ind w:left="0" w:right="11" w:firstLine="0"/>
              <w:jc w:val="right"/>
            </w:pPr>
            <w:r>
              <w:rPr>
                <w:rFonts w:cs="Calibri" w:hAnsi="Calibri" w:eastAsia="Calibri" w:ascii="Calibri"/>
                <w:sz w:val="15"/>
              </w:rPr>
              <w:t xml:space="preserve">$5,000.00</w:t>
            </w:r>
          </w:p>
        </w:tc>
      </w:tr>
      <w:tr>
        <w:trPr>
          <w:trHeight w:val="222" w:hRule="atLeast"/>
        </w:trPr>
        <w:tc>
          <w:tcPr>
            <w:vMerge w:val="continue"/>
            <w:tcBorders>
              <w:top w:val="nil"/>
              <w:left w:val="nil"/>
              <w:bottom w:val="single" w:sz="11" w:color="000000"/>
              <w:right w:val="nil"/>
            </w:tcBorders>
            <w:vAlign w:val="top"/>
          </w:tcPr>
          <w:p>
            <w:pPr>
              <w:bidi w:val="0"/>
              <w:spacing w:before="0" w:after="160" w:line="259" w:lineRule="auto"/>
              <w:ind w:left="0" w:right="0" w:firstLine="0"/>
              <w:jc w:val="left"/>
            </w:pPr>
          </w:p>
        </w:tc>
        <w:tc>
          <w:tcPr>
            <w:tcW w:w="2210" w:type="dxa"/>
            <w:gridSpan w:val="2"/>
            <w:tcBorders>
              <w:top w:val="double" w:sz="5" w:color="000000"/>
              <w:left w:val="nil"/>
              <w:bottom w:val="single" w:sz="11" w:color="000000"/>
              <w:right w:val="nil"/>
            </w:tcBorders>
            <w:vAlign w:val="top"/>
          </w:tcPr>
          <w:p>
            <w:pPr>
              <w:bidi w:val="0"/>
              <w:spacing w:before="0" w:after="160" w:line="259" w:lineRule="auto"/>
              <w:ind w:left="0" w:right="0" w:firstLine="0"/>
              <w:jc w:val="left"/>
            </w:pPr>
          </w:p>
        </w:tc>
        <w:tc>
          <w:tcPr>
            <w:tcW w:w="751" w:type="dxa"/>
            <w:tcBorders>
              <w:top w:val="double" w:sz="5" w:color="000000"/>
              <w:left w:val="nil"/>
              <w:bottom w:val="single" w:sz="11" w:color="000000"/>
              <w:right w:val="nil"/>
            </w:tcBorders>
            <w:vAlign w:val="top"/>
          </w:tcPr>
          <w:p>
            <w:pPr>
              <w:spacing w:before="0" w:after="0" w:line="259" w:lineRule="auto"/>
              <w:ind w:left="0" w:right="0" w:firstLine="0"/>
            </w:pPr>
            <w:r>
              <w:rPr>
                <w:rFonts w:cs="Calibri" w:hAnsi="Calibri" w:eastAsia="Calibri" w:ascii="Calibri"/>
                <w:b w:val="1"/>
                <w:sz w:val="15"/>
              </w:rPr>
              <w:t xml:space="preserve">SUBTOTAL:</w:t>
            </w:r>
          </w:p>
        </w:tc>
        <w:tc>
          <w:tcPr>
            <w:tcW w:w="1191" w:type="dxa"/>
            <w:tcBorders>
              <w:top w:val="double" w:sz="5" w:color="000000"/>
              <w:left w:val="nil"/>
              <w:bottom w:val="single" w:sz="11" w:color="000000"/>
              <w:right w:val="nil"/>
            </w:tcBorders>
            <w:vAlign w:val="top"/>
          </w:tcPr>
          <w:p>
            <w:pPr>
              <w:spacing w:before="0" w:after="0" w:line="259" w:lineRule="auto"/>
              <w:ind w:left="0" w:right="10" w:firstLine="0"/>
              <w:jc w:val="right"/>
            </w:pPr>
            <w:r>
              <w:rPr>
                <w:rFonts w:cs="Calibri" w:hAnsi="Calibri" w:eastAsia="Calibri" w:ascii="Calibri"/>
                <w:b w:val="1"/>
                <w:sz w:val="15"/>
              </w:rPr>
              <w:t xml:space="preserve">$30,000.00</w:t>
            </w:r>
          </w:p>
        </w:tc>
      </w:tr>
      <w:tr>
        <w:trPr>
          <w:trHeight w:val="209" w:hRule="atLeast"/>
        </w:trPr>
        <w:tc>
          <w:tcPr>
            <w:tcW w:w="11100" w:type="dxa"/>
            <w:gridSpan w:val="4"/>
            <w:tcBorders>
              <w:top w:val="single" w:sz="11" w:color="000000"/>
              <w:left w:val="single" w:sz="11" w:color="000000"/>
              <w:bottom w:val="single" w:sz="11" w:color="000000"/>
              <w:right w:val="single" w:sz="11" w:color="000000"/>
            </w:tcBorders>
            <w:shd w:val="clear" w:fill="f3dcda"/>
            <w:vAlign w:val="top"/>
          </w:tcPr>
          <w:p>
            <w:pPr>
              <w:spacing w:before="0" w:after="0" w:line="259" w:lineRule="auto"/>
              <w:ind w:left="0" w:right="58" w:firstLine="0"/>
              <w:jc w:val="right"/>
            </w:pPr>
            <w:r>
              <w:rPr>
                <w:rFonts w:cs="Calibri" w:hAnsi="Calibri" w:eastAsia="Calibri" w:ascii="Calibri"/>
                <w:b w:val="1"/>
                <w:sz w:val="15"/>
              </w:rPr>
              <w:t xml:space="preserve">TOTAL1ESTIMATED1COMPONENT/OUTPUT1COSTS12013V2014:</w:t>
            </w:r>
          </w:p>
        </w:tc>
        <w:tc>
          <w:tcPr>
            <w:tcW w:w="1191" w:type="dxa"/>
            <w:tcBorders>
              <w:top w:val="single" w:sz="11" w:color="000000"/>
              <w:left w:val="single" w:sz="11" w:color="000000"/>
              <w:bottom w:val="single" w:sz="11" w:color="000000"/>
              <w:right w:val="single" w:sz="11" w:color="000000"/>
            </w:tcBorders>
            <w:shd w:val="clear" w:fill="f3dcda"/>
            <w:vAlign w:val="top"/>
          </w:tcPr>
          <w:p>
            <w:pPr>
              <w:spacing w:before="0" w:after="0" w:line="259" w:lineRule="auto"/>
              <w:ind w:left="0" w:right="12" w:firstLine="0"/>
              <w:jc w:val="right"/>
            </w:pPr>
            <w:r>
              <w:rPr>
                <w:rFonts w:cs="Calibri" w:hAnsi="Calibri" w:eastAsia="Calibri" w:ascii="Calibri"/>
                <w:b w:val="1"/>
                <w:sz w:val="15"/>
              </w:rPr>
              <w:t xml:space="preserve">$137,146.00</w:t>
            </w:r>
          </w:p>
        </w:tc>
      </w:tr>
    </w:tbl>
    <w:p>
      <w:pPr>
        <w:tabs>
          <w:tab w:val="center" w:pos="6171"/>
          <w:tab w:val="center" w:pos="12094"/>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5"/>
        </w:rPr>
        <w:t xml:space="preserve">1*OF*1	</w:t>
      </w:r>
      <w:r>
        <w:rPr>
          <w:rFonts w:cs="Calibri" w:hAnsi="Calibri" w:eastAsia="Calibri" w:ascii="Calibri"/>
          <w:sz w:val="15"/>
        </w:rPr>
        <w:t xml:space="preserve">7/1/13</w:t>
      </w:r>
    </w:p>
    <w:p>
      <w:pPr>
        <w:pStyle w:val="heading6"/>
        <w:spacing w:before="0" w:after="153" w:line="259" w:lineRule="auto"/>
        <w:ind w:left="10" w:right="147" w:hanging="10"/>
        <w:jc w:val="center"/>
      </w:pPr>
      <w:r>
        <w:rPr>
          <w:rFonts w:cs="Calibri" w:hAnsi="Calibri" w:eastAsia="Calibri" w:ascii="Calibri"/>
          <w:sz w:val="17"/>
        </w:rPr>
        <w:t xml:space="preserve">DEMOCRATIC*EMPOWERMENT*PROJECT*WORK*PLAN*BUDGET*2013*8*2014</w:t>
      </w:r>
    </w:p>
    <w:tbl>
      <w:tblPr>
        <w:tblStyle w:val="TableGrid"/>
        <w:tblW w:w="12317" w:type="dxa"/>
        <w:tblInd w:w="-30" w:type="dxa"/>
        <w:tblCellMar>
          <w:top w:w="0" w:type="dxa"/>
          <w:left w:w="0" w:type="dxa"/>
          <w:bottom w:w="10" w:type="dxa"/>
          <w:right w:w="20" w:type="dxa"/>
        </w:tblCellMar>
      </w:tblPr>
      <w:tblGrid>
        <w:gridCol w:w="8194"/>
        <w:gridCol w:w="902"/>
        <w:gridCol w:w="1091"/>
        <w:gridCol w:w="1317"/>
        <w:gridCol w:w="813"/>
      </w:tblGrid>
      <w:tr>
        <w:trPr>
          <w:trHeight w:val="219" w:hRule="atLeast"/>
        </w:trPr>
        <w:tc>
          <w:tcPr>
            <w:tcW w:w="11504" w:type="dxa"/>
            <w:gridSpan w:val="4"/>
            <w:tcBorders>
              <w:top w:val="nil"/>
              <w:left w:val="nil"/>
              <w:bottom w:val="nil"/>
              <w:right w:val="nil"/>
            </w:tcBorders>
            <w:shd w:val="clear" w:fill="eaf1dd"/>
            <w:vAlign w:val="top"/>
          </w:tcPr>
          <w:p>
            <w:pPr>
              <w:spacing w:before="0" w:after="0" w:line="259" w:lineRule="auto"/>
              <w:ind w:left="83" w:right="0" w:firstLine="0"/>
              <w:jc w:val="left"/>
            </w:pPr>
            <w:r>
              <w:rPr>
                <w:rFonts w:cs="Calibri" w:hAnsi="Calibri" w:eastAsia="Calibri" w:ascii="Calibri"/>
                <w:b w:val="1"/>
                <w:sz w:val="17"/>
              </w:rPr>
              <w:t xml:space="preserve">COMPONENT!2:!!SUPPORT!IMPROVEMENT!OF!EMB!INTEGRITY!AND!MANAGEMENT!CAPACITIES!</w:t>
            </w:r>
          </w:p>
        </w:tc>
        <w:tc>
          <w:tcPr>
            <w:tcW w:w="813" w:type="dxa"/>
            <w:tcBorders>
              <w:top w:val="nil"/>
              <w:left w:val="nil"/>
              <w:bottom w:val="nil"/>
              <w:right w:val="nil"/>
            </w:tcBorders>
            <w:shd w:val="clear" w:fill="eaf1dd"/>
            <w:vAlign w:val="top"/>
          </w:tcPr>
          <w:p>
            <w:pPr>
              <w:bidi w:val="0"/>
              <w:spacing w:before="0" w:after="160" w:line="259" w:lineRule="auto"/>
              <w:ind w:left="0" w:right="0" w:firstLine="0"/>
              <w:jc w:val="left"/>
            </w:pPr>
          </w:p>
        </w:tc>
      </w:tr>
      <w:tr>
        <w:trPr>
          <w:trHeight w:val="516" w:hRule="atLeast"/>
        </w:trPr>
        <w:tc>
          <w:tcPr>
            <w:tcW w:w="11504" w:type="dxa"/>
            <w:gridSpan w:val="4"/>
            <w:tcBorders>
              <w:top w:val="nil"/>
              <w:left w:val="nil"/>
              <w:bottom w:val="nil"/>
              <w:right w:val="nil"/>
            </w:tcBorders>
            <w:vAlign w:val="center"/>
          </w:tcPr>
          <w:p>
            <w:pPr>
              <w:spacing w:before="0" w:after="0" w:line="259" w:lineRule="auto"/>
              <w:ind w:left="30" w:right="0" w:firstLine="0"/>
              <w:jc w:val="left"/>
            </w:pPr>
            <w:r>
              <w:rPr>
                <w:rFonts w:cs="Calibri" w:hAnsi="Calibri" w:eastAsia="Calibri" w:ascii="Calibri"/>
                <w:b w:val="1"/>
                <w:sz w:val="17"/>
              </w:rPr>
              <w:t xml:space="preserve">!OUTPUT!5:!!Delivery!of!Civic!and!Voter!education!and!information!improved!and!extended!to!hard!to!reach!citizens!</w:t>
            </w:r>
          </w:p>
        </w:tc>
        <w:tc>
          <w:tcPr>
            <w:tcW w:w="813" w:type="dxa"/>
            <w:tcBorders>
              <w:top w:val="nil"/>
              <w:left w:val="nil"/>
              <w:bottom w:val="nil"/>
              <w:right w:val="nil"/>
            </w:tcBorders>
            <w:vAlign w:val="top"/>
          </w:tcPr>
          <w:p>
            <w:pPr>
              <w:bidi w:val="0"/>
              <w:spacing w:before="0" w:after="160" w:line="259" w:lineRule="auto"/>
              <w:ind w:left="0" w:right="0" w:firstLine="0"/>
              <w:jc w:val="left"/>
            </w:pPr>
          </w:p>
        </w:tc>
      </w:tr>
      <w:tr>
        <w:trPr>
          <w:trHeight w:val="219" w:hRule="atLeast"/>
        </w:trPr>
        <w:tc>
          <w:tcPr>
            <w:tcW w:w="11504" w:type="dxa"/>
            <w:gridSpan w:val="4"/>
            <w:tcBorders>
              <w:top w:val="nil"/>
              <w:left w:val="nil"/>
              <w:bottom w:val="nil"/>
              <w:right w:val="nil"/>
            </w:tcBorders>
            <w:shd w:val="clear" w:fill="dce6f1"/>
            <w:vAlign w:val="top"/>
          </w:tcPr>
          <w:p>
            <w:pPr>
              <w:tabs>
                <w:tab w:val="center" w:pos="5689"/>
              </w:tabs>
              <w:spacing w:before="0" w:after="0" w:line="259" w:lineRule="auto"/>
              <w:ind w:left="0" w:right="0" w:firstLine="0"/>
              <w:jc w:val="left"/>
            </w:pPr>
            <w:r>
              <w:rPr>
                <w:rFonts w:cs="Calibri" w:hAnsi="Calibri" w:eastAsia="Calibri" w:ascii="Calibri"/>
                <w:b w:val="1"/>
                <w:sz w:val="17"/>
              </w:rPr>
              <w:t xml:space="preserve">!2.5.1.!	</w:t>
            </w:r>
            <w:r>
              <w:rPr>
                <w:rFonts w:cs="Calibri" w:hAnsi="Calibri" w:eastAsia="Calibri" w:ascii="Calibri"/>
                <w:b w:val="1"/>
                <w:sz w:val="17"/>
              </w:rPr>
              <w:t xml:space="preserve">!Support!the!review,!design!and!implementation!of!voter!education!and!information!programs!working!closely!with!CSOs!and!the!media!</w:t>
            </w:r>
          </w:p>
        </w:tc>
        <w:tc>
          <w:tcPr>
            <w:tcW w:w="813"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1592" w:hRule="atLeast"/>
        </w:trPr>
        <w:tc>
          <w:tcPr>
            <w:tcW w:w="11504" w:type="dxa"/>
            <w:gridSpan w:val="4"/>
            <w:tcBorders>
              <w:top w:val="nil"/>
              <w:left w:val="nil"/>
              <w:bottom w:val="nil"/>
              <w:right w:val="nil"/>
            </w:tcBorders>
            <w:vAlign w:val="top"/>
          </w:tcPr>
          <w:p>
            <w:pPr>
              <w:spacing w:before="0" w:after="0" w:line="251" w:lineRule="auto"/>
              <w:ind w:left="28" w:right="379" w:firstLine="8180"/>
              <w:jc w:val="left"/>
            </w:pPr>
            <w:r>
              <w:rPr>
                <w:rFonts w:cs="Calibri" w:hAnsi="Calibri" w:eastAsia="Calibri" w:ascii="Calibri"/>
                <w:sz w:val="17"/>
              </w:rPr>
              <w:t xml:space="preserve">*Pool*	</w:t>
            </w:r>
            <w:r>
              <w:rPr>
                <w:rFonts w:cs="Calibri" w:hAnsi="Calibri" w:eastAsia="Calibri" w:ascii="Calibri"/>
                <w:sz w:val="17"/>
              </w:rPr>
              <w:t xml:space="preserve">*$**********1.00*	</w:t>
            </w:r>
            <w:r>
              <w:rPr>
                <w:rFonts w:cs="Calibri" w:hAnsi="Calibri" w:eastAsia="Calibri" w:ascii="Calibri"/>
                <w:sz w:val="17"/>
              </w:rPr>
              <w:t xml:space="preserve">$30,000.00 </w:t>
            </w:r>
            <w:r>
              <w:rPr>
                <w:rFonts w:cs="Calibri" w:hAnsi="Calibri" w:eastAsia="Calibri" w:ascii="Calibri"/>
                <w:sz w:val="17"/>
              </w:rPr>
              <w:t xml:space="preserve">A.**Procure*and*install*a*small*media*production*facility*at*the*NEC*	*Audio/visual*production*equipment,* and*train*NEC*staff*on*the*use*and*upkeep*of*equipment*and*on*	software*&amp;*installation* media*production*fundamentals*so*that*the*NEC*can*begin*to*produce* its*own*radio/television*public*service*announcments*and*other*	*Rennovation*of*production*studio*	*Pool*	</w:t>
            </w:r>
            <w:r>
              <w:rPr>
                <w:rFonts w:cs="Calibri" w:hAnsi="Calibri" w:eastAsia="Calibri" w:ascii="Calibri"/>
                <w:sz w:val="17"/>
              </w:rPr>
              <w:t xml:space="preserve">*$**********1.00*	</w:t>
            </w:r>
            <w:r>
              <w:rPr>
                <w:rFonts w:cs="Calibri" w:hAnsi="Calibri" w:eastAsia="Calibri" w:ascii="Calibri"/>
                <w:sz w:val="17"/>
              </w:rPr>
              <w:t xml:space="preserve">$15,000.00 </w:t>
            </w:r>
            <w:r>
              <w:rPr>
                <w:rFonts w:cs="Calibri" w:hAnsi="Calibri" w:eastAsia="Calibri" w:ascii="Calibri"/>
                <w:sz w:val="17"/>
              </w:rPr>
              <w:t xml:space="preserve">products*thereby*saving*costs*and*improving*voter*information*and*	</w:t>
            </w:r>
            <w:r>
              <w:rPr>
                <w:rFonts w:cs="Calibri" w:hAnsi="Calibri" w:eastAsia="Calibri" w:ascii="Calibri"/>
                <w:sz w:val="26"/>
                <w:vertAlign w:val="superscript"/>
              </w:rPr>
              <w:t xml:space="preserve">room*at*NEC*including*sound*proofing* </w:t>
            </w:r>
            <w:r>
              <w:rPr>
                <w:rFonts w:cs="Calibri" w:hAnsi="Calibri" w:eastAsia="Calibri" w:ascii="Calibri"/>
                <w:sz w:val="17"/>
              </w:rPr>
              <w:t xml:space="preserve">education*services*to*the*public.</w:t>
            </w:r>
          </w:p>
          <w:p>
            <w:pPr>
              <w:tabs>
                <w:tab w:val="center" w:pos="5658"/>
                <w:tab w:val="center" w:pos="8381"/>
                <w:tab w:val="center" w:pos="9507"/>
                <w:tab w:val="center" w:pos="10706"/>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7"/>
              </w:rPr>
              <w:t xml:space="preserve">Training*of*NEC*staff	Pool	</w:t>
            </w:r>
            <w:r>
              <w:rPr>
                <w:rFonts w:cs="Calibri" w:hAnsi="Calibri" w:eastAsia="Calibri" w:ascii="Calibri"/>
                <w:sz w:val="17"/>
              </w:rPr>
              <w:t xml:space="preserve">*$**********1.00*	</w:t>
            </w:r>
            <w:r>
              <w:rPr>
                <w:rFonts w:cs="Calibri" w:hAnsi="Calibri" w:eastAsia="Calibri" w:ascii="Calibri"/>
                <w:sz w:val="17"/>
              </w:rPr>
              <w:t xml:space="preserve">$15,000.00</w:t>
            </w:r>
          </w:p>
        </w:tc>
        <w:tc>
          <w:tcPr>
            <w:tcW w:w="813" w:type="dxa"/>
            <w:tcBorders>
              <w:top w:val="nil"/>
              <w:left w:val="nil"/>
              <w:bottom w:val="double" w:sz="6" w:color="000000"/>
              <w:right w:val="nil"/>
            </w:tcBorders>
            <w:vAlign w:val="top"/>
          </w:tcPr>
          <w:p>
            <w:pPr>
              <w:spacing w:before="0" w:after="465" w:line="259" w:lineRule="auto"/>
              <w:ind w:left="15" w:right="0" w:firstLine="0"/>
            </w:pPr>
            <w:r>
              <w:rPr>
                <w:rFonts w:cs="Calibri" w:hAnsi="Calibri" w:eastAsia="Calibri" w:ascii="Calibri"/>
                <w:sz w:val="17"/>
              </w:rPr>
              <w:t xml:space="preserve">$30,000.00</w:t>
            </w:r>
          </w:p>
          <w:p>
            <w:pPr>
              <w:spacing w:before="0" w:after="443" w:line="259" w:lineRule="auto"/>
              <w:ind w:left="15" w:right="0" w:firstLine="0"/>
            </w:pPr>
            <w:r>
              <w:rPr>
                <w:rFonts w:cs="Calibri" w:hAnsi="Calibri" w:eastAsia="Calibri" w:ascii="Calibri"/>
                <w:sz w:val="17"/>
              </w:rPr>
              <w:t xml:space="preserve">$15,000.00</w:t>
            </w:r>
          </w:p>
          <w:p>
            <w:pPr>
              <w:spacing w:before="0" w:after="0" w:line="259" w:lineRule="auto"/>
              <w:ind w:left="4" w:right="0" w:firstLine="0"/>
            </w:pPr>
            <w:r>
              <w:rPr>
                <w:rFonts w:cs="Calibri" w:hAnsi="Calibri" w:eastAsia="Calibri" w:ascii="Calibri"/>
                <w:sz w:val="17"/>
              </w:rPr>
              <w:t xml:space="preserve">$15,000.00</w:t>
            </w:r>
          </w:p>
        </w:tc>
      </w:tr>
      <w:tr>
        <w:trPr>
          <w:trHeight w:val="1106" w:hRule="atLeast"/>
        </w:trPr>
        <w:tc>
          <w:tcPr>
            <w:tcW w:w="11504" w:type="dxa"/>
            <w:gridSpan w:val="4"/>
            <w:tcBorders>
              <w:top w:val="nil"/>
              <w:left w:val="nil"/>
              <w:bottom w:val="nil"/>
              <w:right w:val="nil"/>
            </w:tcBorders>
            <w:vAlign w:val="center"/>
          </w:tcPr>
          <w:p>
            <w:pPr>
              <w:spacing w:before="0" w:after="0" w:line="259" w:lineRule="auto"/>
              <w:ind w:left="28" w:right="5302" w:firstLine="2"/>
              <w:jc w:val="left"/>
            </w:pPr>
            <w:r>
              <w:rPr>
                <w:rFonts w:cs="Calibri" w:hAnsi="Calibri" w:eastAsia="Calibri" w:ascii="Calibri"/>
                <w:sz w:val="17"/>
              </w:rPr>
              <w:t xml:space="preserve">B.**Provide*additional*resources*to*update*and*reinforce*the*radio*and* television*production*capacities*of*the*ZEC*thus*builiding*on*previous* UNDP*investments.</w:t>
            </w:r>
          </w:p>
        </w:tc>
        <w:tc>
          <w:tcPr>
            <w:tcW w:w="813" w:type="dxa"/>
            <w:tcBorders>
              <w:top w:val="double" w:sz="6" w:color="000000"/>
              <w:left w:val="nil"/>
              <w:bottom w:val="nil"/>
              <w:right w:val="nil"/>
            </w:tcBorders>
            <w:vAlign w:val="top"/>
          </w:tcPr>
          <w:p>
            <w:pPr>
              <w:spacing w:before="0" w:after="0" w:line="259" w:lineRule="auto"/>
              <w:ind w:left="0" w:right="0" w:firstLine="0"/>
            </w:pPr>
            <w:r>
              <w:rPr>
                <w:rFonts w:cs="Calibri" w:hAnsi="Calibri" w:eastAsia="Calibri" w:ascii="Calibri"/>
                <w:b w:val="1"/>
                <w:sz w:val="17"/>
              </w:rPr>
              <w:t xml:space="preserve">$60,000.00</w:t>
            </w:r>
          </w:p>
        </w:tc>
      </w:tr>
      <w:tr>
        <w:trPr>
          <w:trHeight w:val="234" w:hRule="atLeast"/>
        </w:trPr>
        <w:tc>
          <w:tcPr>
            <w:tcW w:w="11504" w:type="dxa"/>
            <w:gridSpan w:val="4"/>
            <w:tcBorders>
              <w:top w:val="nil"/>
              <w:left w:val="nil"/>
              <w:bottom w:val="nil"/>
              <w:right w:val="nil"/>
            </w:tcBorders>
            <w:shd w:val="clear" w:fill="dce6f1"/>
            <w:vAlign w:val="top"/>
          </w:tcPr>
          <w:p>
            <w:pPr>
              <w:tabs>
                <w:tab w:val="center" w:pos="5827"/>
              </w:tabs>
              <w:spacing w:before="0" w:after="0" w:line="259" w:lineRule="auto"/>
              <w:ind w:left="0" w:right="0" w:firstLine="0"/>
              <w:jc w:val="left"/>
            </w:pPr>
            <w:r>
              <w:rPr>
                <w:rFonts w:cs="Calibri" w:hAnsi="Calibri" w:eastAsia="Calibri" w:ascii="Calibri"/>
                <w:b w:val="1"/>
                <w:sz w:val="17"/>
              </w:rPr>
              <w:t xml:space="preserve">!2.5.2.!	</w:t>
            </w:r>
            <w:r>
              <w:rPr>
                <w:rFonts w:cs="Calibri" w:hAnsi="Calibri" w:eastAsia="Calibri" w:ascii="Calibri"/>
                <w:b w:val="1"/>
                <w:sz w:val="17"/>
              </w:rPr>
              <w:t xml:space="preserve">!!Undertake!surveys!to!assess!public!understanding!of!democratic!values!and!adjust!interventions!to!respond!to!changing!trends!and!needs.!!</w:t>
            </w:r>
          </w:p>
        </w:tc>
        <w:tc>
          <w:tcPr>
            <w:tcW w:w="813"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442" w:hRule="atLeast"/>
        </w:trPr>
        <w:tc>
          <w:tcPr>
            <w:tcW w:w="11504" w:type="dxa"/>
            <w:gridSpan w:val="4"/>
            <w:tcBorders>
              <w:top w:val="nil"/>
              <w:left w:val="nil"/>
              <w:bottom w:val="nil"/>
              <w:right w:val="nil"/>
            </w:tcBorders>
            <w:vAlign w:val="top"/>
          </w:tcPr>
          <w:p>
            <w:pPr>
              <w:spacing w:before="0" w:after="0" w:line="259" w:lineRule="auto"/>
              <w:ind w:left="30" w:right="0" w:firstLine="0"/>
              <w:jc w:val="left"/>
            </w:pPr>
            <w:r>
              <w:rPr>
                <w:rFonts w:cs="Calibri" w:hAnsi="Calibri" w:eastAsia="Calibri" w:ascii="Calibri"/>
                <w:sz w:val="17"/>
              </w:rPr>
              <w:t xml:space="preserve">*No*activites*planned*this*period*</w:t>
            </w:r>
          </w:p>
        </w:tc>
        <w:tc>
          <w:tcPr>
            <w:tcW w:w="813" w:type="dxa"/>
            <w:tcBorders>
              <w:top w:val="nil"/>
              <w:left w:val="nil"/>
              <w:bottom w:val="nil"/>
              <w:right w:val="nil"/>
            </w:tcBorders>
            <w:vAlign w:val="bottom"/>
          </w:tcPr>
          <w:p>
            <w:pPr>
              <w:spacing w:before="0" w:after="0" w:line="259" w:lineRule="auto"/>
              <w:ind w:left="0" w:right="11" w:firstLine="0"/>
              <w:jc w:val="right"/>
            </w:pPr>
            <w:r>
              <w:rPr>
                <w:rFonts w:cs="Calibri" w:hAnsi="Calibri" w:eastAsia="Calibri" w:ascii="Calibri"/>
                <w:b w:val="1"/>
                <w:sz w:val="17"/>
              </w:rPr>
              <w:t xml:space="preserve">$0.00</w:t>
            </w:r>
          </w:p>
        </w:tc>
      </w:tr>
      <w:tr>
        <w:trPr>
          <w:trHeight w:val="219" w:hRule="atLeast"/>
        </w:trPr>
        <w:tc>
          <w:tcPr>
            <w:tcW w:w="11504" w:type="dxa"/>
            <w:gridSpan w:val="4"/>
            <w:tcBorders>
              <w:top w:val="nil"/>
              <w:left w:val="nil"/>
              <w:bottom w:val="nil"/>
              <w:right w:val="nil"/>
            </w:tcBorders>
            <w:shd w:val="clear" w:fill="dce6f1"/>
            <w:vAlign w:val="top"/>
          </w:tcPr>
          <w:p>
            <w:pPr>
              <w:tabs>
                <w:tab w:val="center" w:pos="5799"/>
              </w:tabs>
              <w:spacing w:before="0" w:after="0" w:line="259" w:lineRule="auto"/>
              <w:ind w:left="0" w:right="0" w:firstLine="0"/>
              <w:jc w:val="left"/>
            </w:pPr>
            <w:r>
              <w:rPr>
                <w:rFonts w:cs="Calibri" w:hAnsi="Calibri" w:eastAsia="Calibri" w:ascii="Calibri"/>
                <w:b w:val="1"/>
                <w:sz w:val="17"/>
              </w:rPr>
              <w:t xml:space="preserve">!2.5.3.!	</w:t>
            </w:r>
            <w:r>
              <w:rPr>
                <w:rFonts w:cs="Calibri" w:hAnsi="Calibri" w:eastAsia="Calibri" w:ascii="Calibri"/>
                <w:b w:val="1"/>
                <w:sz w:val="17"/>
              </w:rPr>
              <w:t xml:space="preserve">!!Support!NEC!and!ZEC!in!the!establishment!of!small!and!medium!grants!scheme!available!to!CSOs,!CBOs,!NGOs!and!associations!to!conduct!</w:t>
            </w:r>
          </w:p>
        </w:tc>
        <w:tc>
          <w:tcPr>
            <w:tcW w:w="813"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1087" w:hRule="atLeast"/>
        </w:trPr>
        <w:tc>
          <w:tcPr>
            <w:tcW w:w="8194" w:type="dxa"/>
            <w:vMerge w:val="restart"/>
            <w:tcBorders>
              <w:top w:val="nil"/>
              <w:left w:val="nil"/>
              <w:bottom w:val="nil"/>
              <w:right w:val="nil"/>
            </w:tcBorders>
            <w:vAlign w:val="top"/>
          </w:tcPr>
          <w:p>
            <w:pPr>
              <w:spacing w:before="0" w:after="0" w:line="260" w:lineRule="auto"/>
              <w:ind w:left="30" w:right="1121" w:firstLine="0"/>
            </w:pPr>
            <w:r>
              <w:rPr>
                <w:rFonts w:cs="Calibri" w:hAnsi="Calibri" w:eastAsia="Calibri" w:ascii="Calibri"/>
                <w:sz w:val="17"/>
              </w:rPr>
              <w:t xml:space="preserve">A.**Feasibility/Capacity*Assessments*of*NEC*&amp;*ZEC*to*determine*the* *Intl*Consultant*8*Small*Grants* feasibiltiy*of*establishing*small/medium*grants*schemes*for*CSOs,* *Intl*Consultant*8*DSA* CBOs*&amp;*NGOs*to*support*voter*education*&amp;*other*outreach**activities.***Intl*Consultant*8*Airfare*</w:t>
            </w:r>
          </w:p>
          <w:p>
            <w:pPr>
              <w:spacing w:before="0" w:after="0" w:line="259" w:lineRule="auto"/>
              <w:ind w:left="30" w:right="2179" w:hanging="1"/>
              <w:jc w:val="left"/>
            </w:pPr>
            <w:r>
              <w:rPr>
                <w:rFonts w:cs="Calibri" w:hAnsi="Calibri" w:eastAsia="Calibri" w:ascii="Calibri"/>
                <w:sz w:val="17"/>
              </w:rPr>
              <w:t xml:space="preserve">Assessment*will*provide*recommendations*to*SC*for*a*decision*to*	Meeting*Costs proceed*with*the*development*of*the*small/medium*grants*fund* factility.</w:t>
            </w:r>
          </w:p>
        </w:tc>
        <w:tc>
          <w:tcPr>
            <w:tcW w:w="902" w:type="dxa"/>
            <w:tcBorders>
              <w:top w:val="nil"/>
              <w:left w:val="nil"/>
              <w:bottom w:val="double" w:sz="6" w:color="000000"/>
              <w:right w:val="nil"/>
            </w:tcBorders>
            <w:vAlign w:val="top"/>
          </w:tcPr>
          <w:p>
            <w:pPr>
              <w:spacing w:before="0" w:after="0" w:line="259" w:lineRule="auto"/>
              <w:ind w:left="0" w:right="0" w:firstLine="0"/>
              <w:jc w:val="left"/>
            </w:pPr>
            <w:r>
              <w:rPr>
                <w:rFonts w:cs="Calibri" w:hAnsi="Calibri" w:eastAsia="Calibri" w:ascii="Calibri"/>
                <w:sz w:val="17"/>
              </w:rPr>
              <w:t xml:space="preserve">*Days*</w:t>
            </w:r>
          </w:p>
          <w:p>
            <w:pPr>
              <w:spacing w:before="0" w:after="0" w:line="259" w:lineRule="auto"/>
              <w:ind w:left="67" w:right="365" w:hanging="67"/>
              <w:jc w:val="left"/>
            </w:pPr>
            <w:r>
              <w:rPr>
                <w:rFonts w:cs="Calibri" w:hAnsi="Calibri" w:eastAsia="Calibri" w:ascii="Calibri"/>
                <w:sz w:val="17"/>
              </w:rPr>
              <w:t xml:space="preserve">*Days* R/T Ea.</w:t>
            </w:r>
          </w:p>
        </w:tc>
        <w:tc>
          <w:tcPr>
            <w:tcW w:w="1091" w:type="dxa"/>
            <w:tcBorders>
              <w:top w:val="nil"/>
              <w:left w:val="nil"/>
              <w:bottom w:val="double" w:sz="6" w:color="000000"/>
              <w:right w:val="nil"/>
            </w:tcBorders>
            <w:vAlign w:val="top"/>
          </w:tcPr>
          <w:p>
            <w:pPr>
              <w:spacing w:before="0" w:after="0" w:line="259" w:lineRule="auto"/>
              <w:ind w:left="0" w:right="0" w:firstLine="0"/>
              <w:jc w:val="left"/>
            </w:pPr>
            <w:r>
              <w:rPr>
                <w:rFonts w:cs="Calibri" w:hAnsi="Calibri" w:eastAsia="Calibri" w:ascii="Calibri"/>
                <w:sz w:val="17"/>
              </w:rPr>
              <w:t xml:space="preserve">*$*******30.00*</w:t>
            </w:r>
          </w:p>
          <w:p>
            <w:pPr>
              <w:spacing w:before="0" w:after="0" w:line="259" w:lineRule="auto"/>
              <w:ind w:left="18" w:right="0" w:firstLine="0"/>
              <w:jc w:val="left"/>
            </w:pPr>
            <w:r>
              <w:rPr>
                <w:rFonts w:cs="Calibri" w:hAnsi="Calibri" w:eastAsia="Calibri" w:ascii="Calibri"/>
                <w:sz w:val="17"/>
              </w:rPr>
              <w:t xml:space="preserve">$*******42.00</w:t>
            </w:r>
            <w:r>
              <w:rPr>
                <w:rFonts w:cs="Calibri" w:hAnsi="Calibri" w:eastAsia="Calibri" w:ascii="Calibri"/>
                <w:sz w:val="17"/>
              </w:rPr>
              <w:t xml:space="preserve">*</w:t>
            </w:r>
          </w:p>
          <w:p>
            <w:pPr>
              <w:spacing w:before="0" w:after="0" w:line="259" w:lineRule="auto"/>
              <w:ind w:left="26" w:right="0" w:firstLine="0"/>
              <w:jc w:val="left"/>
            </w:pPr>
            <w:r>
              <w:rPr>
                <w:rFonts w:cs="Calibri" w:hAnsi="Calibri" w:eastAsia="Calibri" w:ascii="Calibri"/>
                <w:sz w:val="17"/>
              </w:rPr>
              <w:t xml:space="preserve">$*********1.00</w:t>
            </w:r>
            <w:r>
              <w:rPr>
                <w:rFonts w:cs="Calibri" w:hAnsi="Calibri" w:eastAsia="Calibri" w:ascii="Calibri"/>
                <w:sz w:val="17"/>
              </w:rPr>
              <w:t xml:space="preserve">*</w:t>
            </w:r>
          </w:p>
          <w:p>
            <w:pPr>
              <w:spacing w:before="0" w:after="0" w:line="259" w:lineRule="auto"/>
              <w:ind w:left="26" w:right="0" w:firstLine="0"/>
              <w:jc w:val="left"/>
            </w:pPr>
            <w:r>
              <w:rPr>
                <w:rFonts w:cs="Calibri" w:hAnsi="Calibri" w:eastAsia="Calibri" w:ascii="Calibri"/>
                <w:sz w:val="17"/>
              </w:rPr>
              <w:t xml:space="preserve">$*********3.00</w:t>
            </w:r>
            <w:r>
              <w:rPr>
                <w:rFonts w:cs="Calibri" w:hAnsi="Calibri" w:eastAsia="Calibri" w:ascii="Calibri"/>
                <w:sz w:val="17"/>
              </w:rPr>
              <w:t xml:space="preserve">*</w:t>
            </w:r>
          </w:p>
        </w:tc>
        <w:tc>
          <w:tcPr>
            <w:tcW w:w="1317" w:type="dxa"/>
            <w:tcBorders>
              <w:top w:val="nil"/>
              <w:left w:val="nil"/>
              <w:bottom w:val="double" w:sz="6" w:color="000000"/>
              <w:right w:val="nil"/>
            </w:tcBorders>
            <w:vAlign w:val="top"/>
          </w:tcPr>
          <w:p>
            <w:pPr>
              <w:spacing w:before="0" w:after="0" w:line="248" w:lineRule="auto"/>
              <w:ind w:left="67" w:right="110" w:hanging="4"/>
              <w:jc w:val="left"/>
            </w:pPr>
            <w:r>
              <w:rPr>
                <w:rFonts w:cs="Calibri" w:hAnsi="Calibri" w:eastAsia="Calibri" w:ascii="Calibri"/>
                <w:sz w:val="17"/>
              </w:rPr>
              <w:t xml:space="preserve">$750.00 $264.00</w:t>
            </w:r>
          </w:p>
          <w:p>
            <w:pPr>
              <w:spacing w:before="0" w:after="0" w:line="259" w:lineRule="auto"/>
              <w:ind w:left="0" w:right="0" w:firstLine="0"/>
              <w:jc w:val="left"/>
            </w:pPr>
            <w:r>
              <w:rPr>
                <w:rFonts w:cs="Calibri" w:hAnsi="Calibri" w:eastAsia="Calibri" w:ascii="Calibri"/>
                <w:sz w:val="17"/>
              </w:rPr>
              <w:t xml:space="preserve">$2,500.00</w:t>
            </w:r>
          </w:p>
          <w:p>
            <w:pPr>
              <w:spacing w:before="0" w:after="0" w:line="259" w:lineRule="auto"/>
              <w:ind w:left="67" w:right="0" w:firstLine="0"/>
              <w:jc w:val="left"/>
            </w:pPr>
            <w:r>
              <w:rPr>
                <w:rFonts w:cs="Calibri" w:hAnsi="Calibri" w:eastAsia="Calibri" w:ascii="Calibri"/>
                <w:sz w:val="17"/>
              </w:rPr>
              <w:t xml:space="preserve">$500.00</w:t>
            </w:r>
          </w:p>
        </w:tc>
        <w:tc>
          <w:tcPr>
            <w:tcW w:w="813" w:type="dxa"/>
            <w:tcBorders>
              <w:top w:val="nil"/>
              <w:left w:val="nil"/>
              <w:bottom w:val="double" w:sz="6" w:color="000000"/>
              <w:right w:val="nil"/>
            </w:tcBorders>
            <w:vAlign w:val="top"/>
          </w:tcPr>
          <w:p>
            <w:pPr>
              <w:spacing w:before="0" w:after="0" w:line="259" w:lineRule="auto"/>
              <w:ind w:left="15" w:right="0" w:firstLine="0"/>
            </w:pPr>
            <w:r>
              <w:rPr>
                <w:rFonts w:cs="Calibri" w:hAnsi="Calibri" w:eastAsia="Calibri" w:ascii="Calibri"/>
                <w:sz w:val="17"/>
              </w:rPr>
              <w:t xml:space="preserve">$22,500.00</w:t>
            </w:r>
          </w:p>
          <w:p>
            <w:pPr>
              <w:spacing w:before="0" w:after="0" w:line="248" w:lineRule="auto"/>
              <w:ind w:left="0" w:right="11" w:firstLine="0"/>
              <w:jc w:val="right"/>
            </w:pPr>
            <w:r>
              <w:rPr>
                <w:rFonts w:cs="Calibri" w:hAnsi="Calibri" w:eastAsia="Calibri" w:ascii="Calibri"/>
                <w:sz w:val="17"/>
              </w:rPr>
              <w:t xml:space="preserve">$11,088.00 $2,500.00</w:t>
            </w:r>
          </w:p>
          <w:p>
            <w:pPr>
              <w:spacing w:before="0" w:after="0" w:line="259" w:lineRule="auto"/>
              <w:ind w:left="89" w:right="0" w:firstLine="0"/>
              <w:jc w:val="left"/>
            </w:pPr>
            <w:r>
              <w:rPr>
                <w:rFonts w:cs="Calibri" w:hAnsi="Calibri" w:eastAsia="Calibri" w:ascii="Calibri"/>
                <w:sz w:val="17"/>
              </w:rPr>
              <w:t xml:space="preserve">$1,500.00</w:t>
            </w:r>
          </w:p>
        </w:tc>
      </w:tr>
      <w:tr>
        <w:trPr>
          <w:trHeight w:val="445"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tcW w:w="902" w:type="dxa"/>
            <w:tcBorders>
              <w:top w:val="double" w:sz="6" w:color="000000"/>
              <w:left w:val="nil"/>
              <w:bottom w:val="nil"/>
              <w:right w:val="nil"/>
            </w:tcBorders>
            <w:vAlign w:val="top"/>
          </w:tcPr>
          <w:p>
            <w:pPr>
              <w:bidi w:val="0"/>
              <w:spacing w:before="0" w:after="160" w:line="259" w:lineRule="auto"/>
              <w:ind w:left="0" w:right="0" w:firstLine="0"/>
              <w:jc w:val="left"/>
            </w:pPr>
          </w:p>
        </w:tc>
        <w:tc>
          <w:tcPr>
            <w:tcW w:w="1091" w:type="dxa"/>
            <w:tcBorders>
              <w:top w:val="double" w:sz="6" w:color="000000"/>
              <w:left w:val="nil"/>
              <w:bottom w:val="nil"/>
              <w:right w:val="nil"/>
            </w:tcBorders>
            <w:vAlign w:val="top"/>
          </w:tcPr>
          <w:p>
            <w:pPr>
              <w:bidi w:val="0"/>
              <w:spacing w:before="0" w:after="160" w:line="259" w:lineRule="auto"/>
              <w:ind w:left="0" w:right="0" w:firstLine="0"/>
              <w:jc w:val="left"/>
            </w:pPr>
          </w:p>
        </w:tc>
        <w:tc>
          <w:tcPr>
            <w:tcW w:w="1317" w:type="dxa"/>
            <w:tcBorders>
              <w:top w:val="double" w:sz="6" w:color="000000"/>
              <w:left w:val="nil"/>
              <w:bottom w:val="nil"/>
              <w:right w:val="nil"/>
            </w:tcBorders>
            <w:vAlign w:val="top"/>
          </w:tcPr>
          <w:p>
            <w:pPr>
              <w:spacing w:before="0" w:after="0" w:line="259" w:lineRule="auto"/>
              <w:ind w:left="108" w:right="0" w:firstLine="0"/>
              <w:jc w:val="left"/>
            </w:pPr>
            <w:r>
              <w:rPr>
                <w:rFonts w:cs="Calibri" w:hAnsi="Calibri" w:eastAsia="Calibri" w:ascii="Calibri"/>
                <w:b w:val="1"/>
                <w:sz w:val="17"/>
              </w:rPr>
              <w:t xml:space="preserve">SUBTOTAL:</w:t>
            </w:r>
          </w:p>
        </w:tc>
        <w:tc>
          <w:tcPr>
            <w:tcW w:w="813" w:type="dxa"/>
            <w:tcBorders>
              <w:top w:val="double" w:sz="6" w:color="000000"/>
              <w:left w:val="nil"/>
              <w:bottom w:val="nil"/>
              <w:right w:val="nil"/>
            </w:tcBorders>
            <w:vAlign w:val="top"/>
          </w:tcPr>
          <w:p>
            <w:pPr>
              <w:spacing w:before="0" w:after="0" w:line="259" w:lineRule="auto"/>
              <w:ind w:left="0" w:right="0" w:firstLine="0"/>
            </w:pPr>
            <w:r>
              <w:rPr>
                <w:rFonts w:cs="Calibri" w:hAnsi="Calibri" w:eastAsia="Calibri" w:ascii="Calibri"/>
                <w:b w:val="1"/>
                <w:sz w:val="17"/>
              </w:rPr>
              <w:t xml:space="preserve">$37,588.00</w:t>
            </w:r>
          </w:p>
        </w:tc>
      </w:tr>
      <w:tr>
        <w:trPr>
          <w:trHeight w:val="219" w:hRule="atLeast"/>
        </w:trPr>
        <w:tc>
          <w:tcPr>
            <w:tcW w:w="9096" w:type="dxa"/>
            <w:gridSpan w:val="2"/>
            <w:tcBorders>
              <w:top w:val="nil"/>
              <w:left w:val="nil"/>
              <w:bottom w:val="nil"/>
              <w:right w:val="nil"/>
            </w:tcBorders>
            <w:shd w:val="clear" w:fill="dce6f1"/>
            <w:vAlign w:val="top"/>
          </w:tcPr>
          <w:p>
            <w:pPr>
              <w:tabs>
                <w:tab w:val="center" w:pos="4731"/>
              </w:tabs>
              <w:spacing w:before="0" w:after="0" w:line="259" w:lineRule="auto"/>
              <w:ind w:left="0" w:right="0" w:firstLine="0"/>
              <w:jc w:val="left"/>
            </w:pPr>
            <w:r>
              <w:rPr>
                <w:rFonts w:cs="Calibri" w:hAnsi="Calibri" w:eastAsia="Calibri" w:ascii="Calibri"/>
                <w:b w:val="1"/>
                <w:sz w:val="17"/>
              </w:rPr>
              <w:t xml:space="preserve">!2.5.4.!	</w:t>
            </w:r>
            <w:r>
              <w:rPr>
                <w:rFonts w:cs="Calibri" w:hAnsi="Calibri" w:eastAsia="Calibri" w:ascii="Calibri"/>
                <w:b w:val="1"/>
                <w:sz w:val="17"/>
              </w:rPr>
              <w:t xml:space="preserve">!Support!community!media!to!serve!as!a!voice!for!democratic!accountability!and!source!of!voter!information!!</w:t>
            </w:r>
          </w:p>
        </w:tc>
        <w:tc>
          <w:tcPr>
            <w:tcW w:w="109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17"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813" w:type="dxa"/>
            <w:tcBorders>
              <w:top w:val="nil"/>
              <w:left w:val="nil"/>
              <w:bottom w:val="nil"/>
              <w:right w:val="nil"/>
            </w:tcBorders>
            <w:shd w:val="clear" w:fill="dce6f1"/>
            <w:vAlign w:val="top"/>
          </w:tcPr>
          <w:p>
            <w:pPr>
              <w:bidi w:val="0"/>
              <w:spacing w:before="0" w:after="160" w:line="259" w:lineRule="auto"/>
              <w:ind w:left="0" w:right="0" w:firstLine="0"/>
              <w:jc w:val="left"/>
            </w:pPr>
          </w:p>
        </w:tc>
      </w:tr>
    </w:tbl>
    <w:p>
      <w:pPr>
        <w:spacing w:before="0" w:after="0" w:line="259" w:lineRule="auto"/>
        <w:ind w:left="0" w:right="0" w:firstLine="0"/>
        <w:jc w:val="left"/>
      </w:pPr>
      <w:r>
        <w:rPr>
          <w:rFonts w:cs="Calibri" w:hAnsi="Calibri" w:eastAsia="Calibri" w:ascii="Calibri"/>
          <w:sz w:val="17"/>
        </w:rPr>
        <w:t xml:space="preserve">*Grant*to*UNESCO*</w:t>
      </w:r>
    </w:p>
    <w:tbl>
      <w:tblPr>
        <w:tblStyle w:val="TableGrid"/>
        <w:tblW w:w="12313" w:type="dxa"/>
        <w:tblInd w:w="-1" w:type="dxa"/>
        <w:tblCellMar>
          <w:top w:w="0" w:type="dxa"/>
          <w:left w:w="0" w:type="dxa"/>
          <w:bottom w:w="0" w:type="dxa"/>
          <w:right w:w="0" w:type="dxa"/>
        </w:tblCellMar>
      </w:tblPr>
      <w:tblGrid>
        <w:gridCol w:w="4921"/>
        <w:gridCol w:w="3263"/>
        <w:gridCol w:w="883"/>
        <w:gridCol w:w="865"/>
        <w:gridCol w:w="1243"/>
        <w:gridCol w:w="1139"/>
      </w:tblGrid>
      <w:tr>
        <w:trPr>
          <w:trHeight w:val="2535" w:hRule="atLeast"/>
        </w:trPr>
        <w:tc>
          <w:tcPr>
            <w:tcW w:w="4921" w:type="dxa"/>
            <w:tcBorders>
              <w:top w:val="nil"/>
              <w:left w:val="nil"/>
              <w:bottom w:val="nil"/>
              <w:right w:val="nil"/>
            </w:tcBorders>
            <w:vAlign w:val="top"/>
          </w:tcPr>
          <w:p>
            <w:pPr>
              <w:spacing w:before="0" w:after="546" w:line="252" w:lineRule="auto"/>
              <w:ind w:left="1" w:right="0" w:firstLine="1"/>
              <w:jc w:val="left"/>
            </w:pPr>
            <w:r>
              <w:rPr>
                <w:rFonts w:cs="Calibri" w:hAnsi="Calibri" w:eastAsia="Calibri" w:ascii="Calibri"/>
                <w:sz w:val="17"/>
              </w:rPr>
              <w:t xml:space="preserve">*A.**RESULT*1:*Media*professionals*practice*in*an*ethical*gender8 responsive*and*objective*manner*</w:t>
            </w:r>
          </w:p>
          <w:p>
            <w:pPr>
              <w:spacing w:before="0" w:after="109" w:line="259" w:lineRule="auto"/>
              <w:ind w:left="1" w:right="0" w:firstLine="0"/>
              <w:jc w:val="left"/>
            </w:pPr>
            <w:r>
              <w:rPr>
                <w:rFonts w:cs="Calibri" w:hAnsi="Calibri" w:eastAsia="Calibri" w:ascii="Calibri"/>
                <w:sz w:val="17"/>
              </w:rPr>
              <w:t xml:space="preserve">*B.**RESULT*2:*Community*media*reaches*more*rural*populations*</w:t>
            </w:r>
          </w:p>
          <w:p>
            <w:pPr>
              <w:spacing w:before="0" w:after="0" w:line="259" w:lineRule="auto"/>
              <w:ind w:left="0" w:right="0" w:firstLine="1"/>
              <w:jc w:val="left"/>
            </w:pPr>
            <w:r>
              <w:rPr>
                <w:rFonts w:cs="Calibri" w:hAnsi="Calibri" w:eastAsia="Calibri" w:ascii="Calibri"/>
                <w:sz w:val="17"/>
              </w:rPr>
              <w:t xml:space="preserve">*C.**RESULT*3:**Community*media*organisations*contributes*to* peaceful,*conflict8sensitive,*gender*responsive*and*democratic* community*discourse*</w:t>
            </w:r>
          </w:p>
        </w:tc>
        <w:tc>
          <w:tcPr>
            <w:tcW w:w="3263" w:type="dxa"/>
            <w:tcBorders>
              <w:top w:val="nil"/>
              <w:left w:val="nil"/>
              <w:bottom w:val="nil"/>
              <w:right w:val="nil"/>
            </w:tcBorders>
            <w:vAlign w:val="top"/>
          </w:tcPr>
          <w:p>
            <w:pPr>
              <w:spacing w:before="0" w:after="0" w:line="252" w:lineRule="auto"/>
              <w:ind w:left="0" w:right="292" w:firstLine="1"/>
              <w:jc w:val="left"/>
            </w:pPr>
            <w:r>
              <w:rPr>
                <w:rFonts w:cs="Calibri" w:hAnsi="Calibri" w:eastAsia="Calibri" w:ascii="Calibri"/>
                <w:sz w:val="17"/>
              </w:rPr>
              <w:t xml:space="preserve">*Output*1:*Journalists*trained*and* mentored*on*ethical,*gender8 responsive*and*conflict*sensitive* reporting*</w:t>
            </w:r>
          </w:p>
          <w:p>
            <w:pPr>
              <w:spacing w:before="0" w:after="0" w:line="259" w:lineRule="auto"/>
              <w:ind w:left="1" w:right="0" w:firstLine="0"/>
              <w:jc w:val="left"/>
            </w:pPr>
            <w:r>
              <w:rPr>
                <w:rFonts w:cs="Calibri" w:hAnsi="Calibri" w:eastAsia="Calibri" w:ascii="Calibri"/>
                <w:sz w:val="17"/>
              </w:rPr>
              <w:t xml:space="preserve">*Output*2:*Community*media* established*in*select*districts.* *Output*3:*Media*organisations* strengthened*in*radio*programming,* organizational*management*and*in8 house*policies*</w:t>
            </w:r>
          </w:p>
        </w:tc>
        <w:tc>
          <w:tcPr>
            <w:tcW w:w="883"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*Unit*</w:t>
            </w:r>
          </w:p>
          <w:p>
            <w:pPr>
              <w:spacing w:before="0" w:after="220" w:line="259" w:lineRule="auto"/>
              <w:ind w:left="0" w:right="0" w:firstLine="0"/>
              <w:jc w:val="left"/>
            </w:pPr>
            <w:r>
              <w:rPr>
                <w:rFonts w:cs="Calibri" w:hAnsi="Calibri" w:eastAsia="Calibri" w:ascii="Calibri"/>
                <w:sz w:val="17"/>
              </w:rPr>
              <w:t xml:space="preserve">*Unit*</w:t>
            </w:r>
          </w:p>
          <w:p>
            <w:pPr>
              <w:spacing w:before="0" w:after="0" w:line="259" w:lineRule="auto"/>
              <w:ind w:left="0" w:right="0" w:firstLine="0"/>
              <w:jc w:val="left"/>
            </w:pPr>
            <w:r>
              <w:rPr>
                <w:rFonts w:cs="Calibri" w:hAnsi="Calibri" w:eastAsia="Calibri" w:ascii="Calibri"/>
                <w:sz w:val="17"/>
              </w:rPr>
              <w:t xml:space="preserve">*Unit*</w:t>
            </w:r>
          </w:p>
        </w:tc>
        <w:tc>
          <w:tcPr>
            <w:tcW w:w="865" w:type="dxa"/>
            <w:tcBorders>
              <w:top w:val="nil"/>
              <w:left w:val="nil"/>
              <w:bottom w:val="nil"/>
              <w:right w:val="nil"/>
            </w:tcBorders>
            <w:vAlign w:val="top"/>
          </w:tcPr>
          <w:p>
            <w:pPr>
              <w:spacing w:before="0" w:after="640" w:line="259" w:lineRule="auto"/>
              <w:ind w:left="245" w:right="0" w:firstLine="0"/>
              <w:jc w:val="left"/>
            </w:pPr>
            <w:r>
              <w:rPr>
                <w:rFonts w:cs="Calibri" w:hAnsi="Calibri" w:eastAsia="Calibri" w:ascii="Calibri"/>
                <w:sz w:val="17"/>
              </w:rPr>
              <w:t xml:space="preserve">40%</w:t>
            </w:r>
          </w:p>
          <w:p>
            <w:pPr>
              <w:spacing w:before="0" w:after="220" w:line="259" w:lineRule="auto"/>
              <w:ind w:left="241" w:right="0" w:firstLine="0"/>
              <w:jc w:val="left"/>
            </w:pPr>
            <w:r>
              <w:rPr>
                <w:rFonts w:cs="Calibri" w:hAnsi="Calibri" w:eastAsia="Calibri" w:ascii="Calibri"/>
                <w:sz w:val="17"/>
              </w:rPr>
              <w:t xml:space="preserve">40%</w:t>
            </w:r>
          </w:p>
          <w:p>
            <w:pPr>
              <w:spacing w:before="0" w:after="0" w:line="259" w:lineRule="auto"/>
              <w:ind w:left="241" w:right="0" w:firstLine="0"/>
              <w:jc w:val="left"/>
            </w:pPr>
            <w:r>
              <w:rPr>
                <w:rFonts w:cs="Calibri" w:hAnsi="Calibri" w:eastAsia="Calibri" w:ascii="Calibri"/>
                <w:sz w:val="17"/>
              </w:rPr>
              <w:t xml:space="preserve">40%</w:t>
            </w:r>
          </w:p>
        </w:tc>
        <w:tc>
          <w:tcPr>
            <w:tcW w:w="1243"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$298,540.00</w:t>
            </w:r>
          </w:p>
          <w:p>
            <w:pPr>
              <w:spacing w:before="0" w:after="220" w:line="259" w:lineRule="auto"/>
              <w:ind w:left="0" w:right="0" w:firstLine="0"/>
              <w:jc w:val="left"/>
            </w:pPr>
            <w:r>
              <w:rPr>
                <w:rFonts w:cs="Calibri" w:hAnsi="Calibri" w:eastAsia="Calibri" w:ascii="Calibri"/>
                <w:sz w:val="17"/>
              </w:rPr>
              <w:t xml:space="preserve">$108,200.00</w:t>
            </w:r>
          </w:p>
          <w:p>
            <w:pPr>
              <w:spacing w:before="0" w:after="0" w:line="259" w:lineRule="auto"/>
              <w:ind w:left="0" w:right="0" w:firstLine="0"/>
              <w:jc w:val="left"/>
            </w:pPr>
            <w:r>
              <w:rPr>
                <w:rFonts w:cs="Calibri" w:hAnsi="Calibri" w:eastAsia="Calibri" w:ascii="Calibri"/>
                <w:sz w:val="17"/>
              </w:rPr>
              <w:t xml:space="preserve">$53,800.00</w:t>
            </w:r>
          </w:p>
        </w:tc>
        <w:tc>
          <w:tcPr>
            <w:tcW w:w="1139"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119,416.00</w:t>
            </w:r>
          </w:p>
          <w:p>
            <w:pPr>
              <w:spacing w:before="0" w:after="220" w:line="259" w:lineRule="auto"/>
              <w:ind w:left="0" w:right="0" w:firstLine="0"/>
              <w:jc w:val="left"/>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43,280.00</w:t>
            </w:r>
          </w:p>
          <w:p>
            <w:pPr>
              <w:spacing w:before="0" w:after="0" w:line="259" w:lineRule="auto"/>
              <w:ind w:left="0" w:right="0" w:firstLine="0"/>
              <w:jc w:val="left"/>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21,520.00</w:t>
            </w:r>
          </w:p>
        </w:tc>
      </w:tr>
      <w:tr>
        <w:trPr>
          <w:trHeight w:val="557" w:hRule="atLeast"/>
        </w:trPr>
        <w:tc>
          <w:tcPr>
            <w:tcW w:w="4921" w:type="dxa"/>
            <w:tcBorders>
              <w:top w:val="nil"/>
              <w:left w:val="nil"/>
              <w:bottom w:val="nil"/>
              <w:right w:val="nil"/>
            </w:tcBorders>
            <w:vAlign w:val="center"/>
          </w:tcPr>
          <w:p>
            <w:pPr>
              <w:bidi w:val="0"/>
              <w:spacing w:before="0" w:after="160" w:line="259" w:lineRule="auto"/>
              <w:ind w:left="0" w:right="0" w:firstLine="0"/>
              <w:jc w:val="left"/>
            </w:pPr>
          </w:p>
        </w:tc>
        <w:tc>
          <w:tcPr>
            <w:tcW w:w="3263" w:type="dxa"/>
            <w:tcBorders>
              <w:top w:val="nil"/>
              <w:left w:val="nil"/>
              <w:bottom w:val="nil"/>
              <w:right w:val="nil"/>
            </w:tcBorders>
            <w:vAlign w:val="bottom"/>
          </w:tcPr>
          <w:p>
            <w:pPr>
              <w:spacing w:before="0" w:after="0" w:line="259" w:lineRule="auto"/>
              <w:ind w:left="1029" w:right="0" w:firstLine="0"/>
              <w:jc w:val="left"/>
            </w:pPr>
            <w:r>
              <w:rPr>
                <w:rFonts w:cs="Calibri" w:hAnsi="Calibri" w:eastAsia="Calibri" w:ascii="Calibri"/>
                <w:sz w:val="17"/>
              </w:rPr>
              <w:t xml:space="preserve">1*OF*2</w:t>
            </w:r>
          </w:p>
        </w:tc>
        <w:tc>
          <w:tcPr>
            <w:tcW w:w="883" w:type="dxa"/>
            <w:tcBorders>
              <w:top w:val="nil"/>
              <w:left w:val="nil"/>
              <w:bottom w:val="nil"/>
              <w:right w:val="nil"/>
            </w:tcBorders>
            <w:vAlign w:val="center"/>
          </w:tcPr>
          <w:p>
            <w:pPr>
              <w:bidi w:val="0"/>
              <w:spacing w:before="0" w:after="160" w:line="259" w:lineRule="auto"/>
              <w:ind w:left="0" w:right="0" w:firstLine="0"/>
              <w:jc w:val="left"/>
            </w:pPr>
          </w:p>
        </w:tc>
        <w:tc>
          <w:tcPr>
            <w:tcW w:w="865" w:type="dxa"/>
            <w:tcBorders>
              <w:top w:val="nil"/>
              <w:left w:val="nil"/>
              <w:bottom w:val="nil"/>
              <w:right w:val="nil"/>
            </w:tcBorders>
            <w:vAlign w:val="center"/>
          </w:tcPr>
          <w:p>
            <w:pPr>
              <w:bidi w:val="0"/>
              <w:spacing w:before="0" w:after="160" w:line="259" w:lineRule="auto"/>
              <w:ind w:left="0" w:right="0" w:firstLine="0"/>
              <w:jc w:val="left"/>
            </w:pPr>
          </w:p>
        </w:tc>
        <w:tc>
          <w:tcPr>
            <w:tcW w:w="1243" w:type="dxa"/>
            <w:tcBorders>
              <w:top w:val="nil"/>
              <w:left w:val="nil"/>
              <w:bottom w:val="nil"/>
              <w:right w:val="nil"/>
            </w:tcBorders>
            <w:vAlign w:val="top"/>
          </w:tcPr>
          <w:p>
            <w:pPr>
              <w:bidi w:val="0"/>
              <w:spacing w:before="0" w:after="160" w:line="259" w:lineRule="auto"/>
              <w:ind w:left="0" w:right="0" w:firstLine="0"/>
              <w:jc w:val="left"/>
            </w:pPr>
          </w:p>
        </w:tc>
        <w:tc>
          <w:tcPr>
            <w:tcW w:w="1139" w:type="dxa"/>
            <w:tcBorders>
              <w:top w:val="nil"/>
              <w:left w:val="nil"/>
              <w:bottom w:val="nil"/>
              <w:right w:val="nil"/>
            </w:tcBorders>
            <w:vAlign w:val="bottom"/>
          </w:tcPr>
          <w:p>
            <w:pPr>
              <w:spacing w:before="0" w:after="0" w:line="259" w:lineRule="auto"/>
              <w:ind w:left="0" w:right="0" w:firstLine="0"/>
              <w:jc w:val="right"/>
            </w:pPr>
            <w:r>
              <w:rPr>
                <w:rFonts w:cs="Calibri" w:hAnsi="Calibri" w:eastAsia="Calibri" w:ascii="Calibri"/>
                <w:sz w:val="17"/>
              </w:rPr>
              <w:t xml:space="preserve">7/1/13</w:t>
            </w:r>
          </w:p>
        </w:tc>
      </w:tr>
    </w:tbl>
    <w:p>
      <w:pPr>
        <w:pStyle w:val="heading6"/>
        <w:spacing w:before="0" w:after="153" w:line="259" w:lineRule="auto"/>
        <w:ind w:left="10" w:right="147" w:hanging="10"/>
        <w:jc w:val="center"/>
      </w:pPr>
      <w:r>
        <w:rPr>
          <w:rFonts w:cs="Calibri" w:hAnsi="Calibri" w:eastAsia="Calibri" w:ascii="Calibri"/>
          <w:sz w:val="17"/>
        </w:rPr>
        <w:t xml:space="preserve">DEMOCRATIC*EMPOWERMENT*PROJECT*WORK*PLAN*BUDGET*2013*8*2014</w:t>
      </w:r>
    </w:p>
    <w:tbl>
      <w:tblPr>
        <w:tblStyle w:val="TableGrid"/>
        <w:tblW w:w="12202" w:type="dxa"/>
        <w:tblInd w:w="0" w:type="dxa"/>
        <w:tblCellMar>
          <w:top w:w="0" w:type="dxa"/>
          <w:left w:w="0" w:type="dxa"/>
          <w:bottom w:w="0" w:type="dxa"/>
          <w:right w:w="0" w:type="dxa"/>
        </w:tblCellMar>
      </w:tblPr>
      <w:tblGrid>
        <w:gridCol w:w="3577"/>
        <w:gridCol w:w="4605"/>
        <w:gridCol w:w="1124"/>
        <w:gridCol w:w="623"/>
        <w:gridCol w:w="1243"/>
        <w:gridCol w:w="1028"/>
      </w:tblGrid>
      <w:tr>
        <w:trPr>
          <w:trHeight w:val="2865" w:hRule="atLeast"/>
        </w:trPr>
        <w:tc>
          <w:tcPr>
            <w:tcW w:w="3577" w:type="dxa"/>
            <w:tcBorders>
              <w:top w:val="nil"/>
              <w:left w:val="nil"/>
              <w:bottom w:val="nil"/>
              <w:right w:val="nil"/>
            </w:tcBorders>
            <w:vAlign w:val="bottom"/>
          </w:tcPr>
          <w:p>
            <w:pPr>
              <w:spacing w:before="0" w:after="0" w:line="259" w:lineRule="auto"/>
              <w:ind w:left="0" w:right="0" w:firstLine="0"/>
              <w:jc w:val="left"/>
            </w:pPr>
            <w:r>
              <w:rPr>
                <w:rFonts w:cs="Calibri" w:hAnsi="Calibri" w:eastAsia="Calibri" w:ascii="Calibri"/>
                <w:sz w:val="17"/>
              </w:rPr>
              <w:t xml:space="preserve">*D.*RESULT*4:**Project*monitored*and*evaluated*</w:t>
            </w:r>
          </w:p>
        </w:tc>
        <w:tc>
          <w:tcPr>
            <w:tcW w:w="4605" w:type="dxa"/>
            <w:tcBorders>
              <w:top w:val="nil"/>
              <w:left w:val="nil"/>
              <w:bottom w:val="nil"/>
              <w:right w:val="nil"/>
            </w:tcBorders>
            <w:vAlign w:val="top"/>
          </w:tcPr>
          <w:p>
            <w:pPr>
              <w:spacing w:before="0" w:after="219" w:line="252" w:lineRule="auto"/>
              <w:ind w:left="1342" w:right="0" w:firstLine="2"/>
              <w:jc w:val="left"/>
            </w:pPr>
            <w:r>
              <w:rPr>
                <w:rFonts w:cs="Calibri" w:hAnsi="Calibri" w:eastAsia="Calibri" w:ascii="Calibri"/>
                <w:sz w:val="17"/>
              </w:rPr>
              <w:t xml:space="preserve">*Output*4:*Community*media*involves* opinion*leaders,*women,*youth*and*the* disabled*in*programming**</w:t>
            </w:r>
          </w:p>
          <w:p>
            <w:pPr>
              <w:spacing w:before="0" w:after="0" w:line="252" w:lineRule="auto"/>
              <w:ind w:left="1343" w:right="0" w:firstLine="0"/>
              <w:jc w:val="left"/>
            </w:pPr>
            <w:r>
              <w:rPr>
                <w:rFonts w:cs="Calibri" w:hAnsi="Calibri" w:eastAsia="Calibri" w:ascii="Calibri"/>
                <w:sz w:val="17"/>
              </w:rPr>
              <w:t xml:space="preserve">*Output*5:**Community*media*involves* local*government*structures*in*</w:t>
            </w:r>
          </w:p>
          <w:p>
            <w:pPr>
              <w:spacing w:before="0" w:after="27" w:line="259" w:lineRule="auto"/>
              <w:ind w:left="1342" w:right="0" w:firstLine="0"/>
              <w:jc w:val="left"/>
            </w:pPr>
            <w:r>
              <w:rPr>
                <w:rFonts w:cs="Calibri" w:hAnsi="Calibri" w:eastAsia="Calibri" w:ascii="Calibri"/>
                <w:sz w:val="17"/>
              </w:rPr>
              <w:t xml:space="preserve">programming*</w:t>
            </w:r>
          </w:p>
          <w:p>
            <w:pPr>
              <w:spacing w:before="0" w:after="0" w:line="252" w:lineRule="auto"/>
              <w:ind w:left="1343" w:right="0" w:hanging="0"/>
              <w:jc w:val="left"/>
            </w:pPr>
            <w:r>
              <w:rPr>
                <w:rFonts w:cs="Calibri" w:hAnsi="Calibri" w:eastAsia="Calibri" w:ascii="Calibri"/>
                <w:sz w:val="17"/>
              </w:rPr>
              <w:t xml:space="preserve">*Output*6:*Assessment,*monitoring*and* evaluation*of*the*impact*of*the*project*</w:t>
            </w:r>
          </w:p>
          <w:p>
            <w:pPr>
              <w:spacing w:before="0" w:after="0" w:line="259" w:lineRule="auto"/>
              <w:ind w:left="1343" w:right="314" w:hanging="0"/>
              <w:jc w:val="left"/>
            </w:pPr>
            <w:r>
              <w:rPr>
                <w:rFonts w:cs="Calibri" w:hAnsi="Calibri" w:eastAsia="Calibri" w:ascii="Calibri"/>
                <w:sz w:val="17"/>
              </w:rPr>
              <w:t xml:space="preserve">on*programming*and*inclusive* community*discourse* *Indirect*Costs*@7%*</w:t>
            </w:r>
          </w:p>
        </w:tc>
        <w:tc>
          <w:tcPr>
            <w:tcW w:w="1124"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*Unit*</w:t>
            </w:r>
          </w:p>
          <w:p>
            <w:pPr>
              <w:spacing w:before="0" w:after="465" w:line="259" w:lineRule="auto"/>
              <w:ind w:left="0" w:right="0" w:firstLine="0"/>
              <w:jc w:val="left"/>
            </w:pPr>
            <w:r>
              <w:rPr>
                <w:rFonts w:cs="Calibri" w:hAnsi="Calibri" w:eastAsia="Calibri" w:ascii="Calibri"/>
                <w:sz w:val="17"/>
              </w:rPr>
              <w:t xml:space="preserve">*Unit*</w:t>
            </w:r>
          </w:p>
          <w:p>
            <w:pPr>
              <w:spacing w:before="0" w:after="866" w:line="259" w:lineRule="auto"/>
              <w:ind w:left="0" w:right="0" w:firstLine="0"/>
              <w:jc w:val="left"/>
            </w:pPr>
            <w:r>
              <w:rPr>
                <w:rFonts w:cs="Calibri" w:hAnsi="Calibri" w:eastAsia="Calibri" w:ascii="Calibri"/>
                <w:sz w:val="17"/>
              </w:rPr>
              <w:t xml:space="preserve">*Unit*</w:t>
            </w:r>
          </w:p>
          <w:p>
            <w:pPr>
              <w:spacing w:before="0" w:after="0" w:line="259" w:lineRule="auto"/>
              <w:ind w:left="0" w:right="0" w:firstLine="0"/>
              <w:jc w:val="left"/>
            </w:pPr>
            <w:r>
              <w:rPr>
                <w:rFonts w:cs="Calibri" w:hAnsi="Calibri" w:eastAsia="Calibri" w:ascii="Calibri"/>
                <w:sz w:val="17"/>
              </w:rPr>
              <w:t xml:space="preserve">*Unit*</w:t>
            </w:r>
          </w:p>
        </w:tc>
        <w:tc>
          <w:tcPr>
            <w:tcW w:w="623"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40%</w:t>
            </w:r>
          </w:p>
          <w:p>
            <w:pPr>
              <w:spacing w:before="0" w:after="465" w:line="259" w:lineRule="auto"/>
              <w:ind w:left="0" w:right="0" w:firstLine="0"/>
              <w:jc w:val="left"/>
            </w:pPr>
            <w:r>
              <w:rPr>
                <w:rFonts w:cs="Calibri" w:hAnsi="Calibri" w:eastAsia="Calibri" w:ascii="Calibri"/>
                <w:sz w:val="17"/>
              </w:rPr>
              <w:t xml:space="preserve">40%</w:t>
            </w:r>
          </w:p>
          <w:p>
            <w:pPr>
              <w:spacing w:before="0" w:after="866" w:line="259" w:lineRule="auto"/>
              <w:ind w:left="0" w:right="0" w:firstLine="0"/>
              <w:jc w:val="left"/>
            </w:pPr>
            <w:r>
              <w:rPr>
                <w:rFonts w:cs="Calibri" w:hAnsi="Calibri" w:eastAsia="Calibri" w:ascii="Calibri"/>
                <w:sz w:val="17"/>
              </w:rPr>
              <w:t xml:space="preserve">40%</w:t>
            </w:r>
          </w:p>
          <w:p>
            <w:pPr>
              <w:spacing w:before="0" w:after="0" w:line="259" w:lineRule="auto"/>
              <w:ind w:left="0" w:right="0" w:firstLine="0"/>
              <w:jc w:val="left"/>
            </w:pPr>
            <w:r>
              <w:rPr>
                <w:rFonts w:cs="Calibri" w:hAnsi="Calibri" w:eastAsia="Calibri" w:ascii="Calibri"/>
                <w:sz w:val="17"/>
              </w:rPr>
              <w:t xml:space="preserve">40%</w:t>
            </w:r>
          </w:p>
        </w:tc>
        <w:tc>
          <w:tcPr>
            <w:tcW w:w="1243" w:type="dxa"/>
            <w:tcBorders>
              <w:top w:val="nil"/>
              <w:left w:val="nil"/>
              <w:bottom w:val="nil"/>
              <w:right w:val="nil"/>
            </w:tcBorders>
            <w:vAlign w:val="top"/>
          </w:tcPr>
          <w:p>
            <w:pPr>
              <w:spacing w:before="0" w:after="651" w:line="259" w:lineRule="auto"/>
              <w:ind w:left="0" w:right="0" w:firstLine="0"/>
              <w:jc w:val="left"/>
            </w:pPr>
            <w:r>
              <w:rPr>
                <w:rFonts w:cs="Calibri" w:hAnsi="Calibri" w:eastAsia="Calibri" w:ascii="Calibri"/>
                <w:sz w:val="17"/>
              </w:rPr>
              <w:t xml:space="preserve">$246,400.00</w:t>
            </w:r>
          </w:p>
          <w:p>
            <w:pPr>
              <w:spacing w:before="0" w:after="465" w:line="259" w:lineRule="auto"/>
              <w:ind w:left="0" w:right="0" w:firstLine="0"/>
              <w:jc w:val="left"/>
            </w:pPr>
            <w:r>
              <w:rPr>
                <w:rFonts w:cs="Calibri" w:hAnsi="Calibri" w:eastAsia="Calibri" w:ascii="Calibri"/>
                <w:sz w:val="17"/>
              </w:rPr>
              <w:t xml:space="preserve">$55,000.00</w:t>
            </w:r>
          </w:p>
          <w:p>
            <w:pPr>
              <w:spacing w:before="0" w:after="866" w:line="259" w:lineRule="auto"/>
              <w:ind w:left="0" w:right="0" w:firstLine="0"/>
              <w:jc w:val="left"/>
            </w:pPr>
            <w:r>
              <w:rPr>
                <w:rFonts w:cs="Calibri" w:hAnsi="Calibri" w:eastAsia="Calibri" w:ascii="Calibri"/>
                <w:sz w:val="17"/>
              </w:rPr>
              <w:t xml:space="preserve">$173,104.00</w:t>
            </w:r>
          </w:p>
          <w:p>
            <w:pPr>
              <w:spacing w:before="0" w:after="0" w:line="259" w:lineRule="auto"/>
              <w:ind w:left="0" w:right="0" w:firstLine="0"/>
              <w:jc w:val="left"/>
            </w:pPr>
            <w:r>
              <w:rPr>
                <w:rFonts w:cs="Calibri" w:hAnsi="Calibri" w:eastAsia="Calibri" w:ascii="Calibri"/>
                <w:sz w:val="17"/>
              </w:rPr>
              <w:t xml:space="preserve">$65,453.08</w:t>
            </w:r>
          </w:p>
        </w:tc>
        <w:tc>
          <w:tcPr>
            <w:tcW w:w="1028" w:type="dxa"/>
            <w:tcBorders>
              <w:top w:val="nil"/>
              <w:left w:val="nil"/>
              <w:bottom w:val="nil"/>
              <w:right w:val="nil"/>
            </w:tcBorders>
            <w:vAlign w:val="top"/>
          </w:tcPr>
          <w:p>
            <w:pPr>
              <w:spacing w:before="0" w:after="1111" w:line="259" w:lineRule="auto"/>
              <w:ind w:left="0" w:right="0" w:firstLine="0"/>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98,560.00</w:t>
            </w:r>
          </w:p>
          <w:p>
            <w:pPr>
              <w:spacing w:before="0" w:after="5" w:line="259" w:lineRule="auto"/>
              <w:ind w:left="0" w:right="0" w:firstLine="0"/>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22,000.00</w:t>
            </w:r>
          </w:p>
          <w:p>
            <w:pPr>
              <w:spacing w:before="0" w:after="851" w:line="259" w:lineRule="auto"/>
              <w:ind w:left="0" w:right="0" w:firstLine="0"/>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69,241.60</w:t>
            </w:r>
          </w:p>
          <w:p>
            <w:pPr>
              <w:spacing w:before="0" w:after="0" w:line="259" w:lineRule="auto"/>
              <w:ind w:left="0" w:right="0" w:firstLine="0"/>
            </w:pPr>
            <w:r>
              <w:rPr>
                <w:rFonts w:cs="Calibri" w:hAnsi="Calibri" w:eastAsia="Calibri" w:ascii="Calibri"/>
                <w:sz w:val="17"/>
              </w:rPr>
              <w:t xml:space="preserve">$******</w:t>
            </w:r>
            <w:r>
              <w:rPr>
                <w:rFonts w:cs="Calibri" w:hAnsi="Calibri" w:eastAsia="Calibri" w:ascii="Calibri"/>
                <w:sz w:val="17"/>
              </w:rPr>
              <w:t xml:space="preserve">*</w:t>
            </w:r>
            <w:r>
              <w:rPr>
                <w:rFonts w:cs="Calibri" w:hAnsi="Calibri" w:eastAsia="Calibri" w:ascii="Calibri"/>
                <w:sz w:val="17"/>
              </w:rPr>
              <w:t xml:space="preserve">26,181.23</w:t>
            </w:r>
          </w:p>
        </w:tc>
      </w:tr>
    </w:tbl>
    <w:tbl>
      <w:tblPr>
        <w:tblStyle w:val="TableGrid"/>
        <w:tblpPr w:horzAnchor="text" w:tblpX="-30" w:vertAnchor="text" w:tblpY="224"/>
        <w:tblOverlap w:val="never"/>
        <w:tblW w:w="12317" w:type="dxa"/>
        <w:tblInd w:w="0" w:type="dxa"/>
        <w:tblCellMar>
          <w:top w:w="1" w:type="dxa"/>
          <w:left w:w="0" w:type="dxa"/>
          <w:bottom w:w="0" w:type="dxa"/>
          <w:right w:w="115" w:type="dxa"/>
        </w:tblCellMar>
      </w:tblPr>
      <w:tblGrid>
        <w:gridCol w:w="850"/>
        <w:gridCol w:w="11467"/>
      </w:tblGrid>
      <w:tr>
        <w:trPr>
          <w:trHeight w:val="434" w:hRule="atLeast"/>
        </w:trPr>
        <w:tc>
          <w:tcPr>
            <w:tcW w:w="850" w:type="dxa"/>
            <w:tcBorders>
              <w:top w:val="nil"/>
              <w:left w:val="nil"/>
              <w:bottom w:val="nil"/>
              <w:right w:val="nil"/>
            </w:tcBorders>
            <w:shd w:val="clear" w:fill="dce6f1"/>
            <w:vAlign w:val="top"/>
          </w:tcPr>
          <w:p>
            <w:pPr>
              <w:spacing w:before="0" w:after="0" w:line="259" w:lineRule="auto"/>
              <w:ind w:left="30" w:right="0" w:firstLine="0"/>
              <w:jc w:val="left"/>
            </w:pPr>
            <w:r>
              <w:rPr>
                <w:rFonts w:cs="Calibri" w:hAnsi="Calibri" w:eastAsia="Calibri" w:ascii="Calibri"/>
                <w:b w:val="1"/>
                <w:sz w:val="17"/>
              </w:rPr>
              <w:t xml:space="preserve">!2.5.5.!</w:t>
            </w:r>
          </w:p>
        </w:tc>
        <w:tc>
          <w:tcPr>
            <w:tcW w:w="11467" w:type="dxa"/>
            <w:tcBorders>
              <w:top w:val="nil"/>
              <w:left w:val="nil"/>
              <w:bottom w:val="nil"/>
              <w:right w:val="nil"/>
            </w:tcBorders>
            <w:shd w:val="clear" w:fill="dce6f1"/>
            <w:vAlign w:val="top"/>
          </w:tcPr>
          <w:p>
            <w:pPr>
              <w:spacing w:before="0" w:after="0" w:line="259" w:lineRule="auto"/>
              <w:ind w:left="1" w:right="754" w:hanging="1"/>
              <w:jc w:val="left"/>
            </w:pPr>
            <w:r>
              <w:rPr>
                <w:rFonts w:cs="Calibri" w:hAnsi="Calibri" w:eastAsia="Calibri" w:ascii="Calibri"/>
                <w:b w:val="1"/>
                <w:sz w:val="17"/>
              </w:rPr>
              <w:t xml:space="preserve">!!Support!creation!of!infrastructure!for!social!media!utilization!in!support!of!civic!engagement!with!the!electoral!process!and!voter!education.!!! (LTTA)!</w:t>
            </w:r>
          </w:p>
        </w:tc>
      </w:tr>
    </w:tbl>
    <w:tbl>
      <w:tblPr>
        <w:tblStyle w:val="TableGrid"/>
        <w:tblpPr w:horzAnchor="text" w:tblpX="0" w:vertAnchor="text" w:tblpY="652"/>
        <w:tblOverlap w:val="never"/>
        <w:tblW w:w="12254" w:type="dxa"/>
        <w:tblInd w:w="0" w:type="dxa"/>
        <w:tblCellMar>
          <w:top w:w="0" w:type="dxa"/>
          <w:left w:w="0" w:type="dxa"/>
          <w:bottom w:w="0" w:type="dxa"/>
          <w:right w:w="0" w:type="dxa"/>
        </w:tblCellMar>
      </w:tblPr>
      <w:tblGrid>
        <w:gridCol w:w="5596"/>
        <w:gridCol w:w="2465"/>
        <w:gridCol w:w="1350"/>
        <w:gridCol w:w="705"/>
        <w:gridCol w:w="2137"/>
      </w:tblGrid>
      <w:tr>
        <w:trPr>
          <w:trHeight w:val="888" w:hRule="atLeast"/>
        </w:trPr>
        <w:tc>
          <w:tcPr>
            <w:tcW w:w="5596" w:type="dxa"/>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17"/>
              </w:rPr>
              <w:t xml:space="preserve">*A.**Voter*Education*Specialist*(P4)*</w:t>
            </w:r>
          </w:p>
          <w:p>
            <w:pPr>
              <w:spacing w:before="0" w:after="0" w:line="259" w:lineRule="auto"/>
              <w:ind w:left="0" w:right="0" w:firstLine="0"/>
              <w:jc w:val="left"/>
            </w:pPr>
            <w:r>
              <w:rPr>
                <w:rFonts w:cs="Calibri" w:hAnsi="Calibri" w:eastAsia="Calibri" w:ascii="Calibri"/>
                <w:sz w:val="17"/>
              </w:rPr>
              <w:t xml:space="preserve">*B.**Social*Media*Specialist*(P4)*</w:t>
            </w:r>
          </w:p>
          <w:p>
            <w:pPr>
              <w:spacing w:before="0" w:after="5" w:line="259" w:lineRule="auto"/>
              <w:ind w:left="0" w:right="0" w:firstLine="0"/>
              <w:jc w:val="left"/>
            </w:pPr>
            <w:r>
              <w:rPr>
                <w:rFonts w:cs="Calibri" w:hAnsi="Calibri" w:eastAsia="Calibri" w:ascii="Calibri"/>
                <w:sz w:val="17"/>
              </w:rPr>
              <w:t xml:space="preserve">*C.**Voter*Ed.*&amp;*Outreach*Associate*(NOC)*</w:t>
            </w:r>
          </w:p>
          <w:p>
            <w:pPr>
              <w:spacing w:before="0" w:after="0" w:line="259" w:lineRule="auto"/>
              <w:ind w:left="0" w:right="0" w:firstLine="0"/>
              <w:jc w:val="left"/>
            </w:pPr>
            <w:r>
              <w:rPr>
                <w:rFonts w:cs="Calibri" w:hAnsi="Calibri" w:eastAsia="Calibri" w:ascii="Calibri"/>
                <w:sz w:val="17"/>
              </w:rPr>
              <w:t xml:space="preserve">*D.**Social*Media*Associate**(NOC)*</w:t>
            </w:r>
          </w:p>
        </w:tc>
        <w:tc>
          <w:tcPr>
            <w:tcW w:w="2465" w:type="dxa"/>
            <w:tcBorders>
              <w:top w:val="nil"/>
              <w:left w:val="nil"/>
              <w:bottom w:val="nil"/>
              <w:right w:val="nil"/>
            </w:tcBorders>
            <w:vAlign w:val="top"/>
          </w:tcPr>
          <w:p>
            <w:pPr>
              <w:spacing w:before="0" w:after="0" w:line="259" w:lineRule="auto"/>
              <w:ind w:left="22" w:right="0" w:firstLine="0"/>
              <w:jc w:val="left"/>
            </w:pPr>
            <w:r>
              <w:rPr>
                <w:rFonts w:cs="Calibri" w:hAnsi="Calibri" w:eastAsia="Calibri" w:ascii="Calibri"/>
                <w:sz w:val="17"/>
              </w:rPr>
              <w:t xml:space="preserve">(100%*of*8*months)</w:t>
            </w:r>
          </w:p>
          <w:p>
            <w:pPr>
              <w:spacing w:before="0" w:after="5" w:line="259" w:lineRule="auto"/>
              <w:ind w:left="22" w:right="0" w:firstLine="0"/>
              <w:jc w:val="left"/>
            </w:pPr>
            <w:r>
              <w:rPr>
                <w:rFonts w:cs="Calibri" w:hAnsi="Calibri" w:eastAsia="Calibri" w:ascii="Calibri"/>
                <w:sz w:val="17"/>
              </w:rPr>
              <w:t xml:space="preserve">(100%*of*8*months)</w:t>
            </w:r>
          </w:p>
          <w:p>
            <w:pPr>
              <w:spacing w:before="0" w:after="5" w:line="259" w:lineRule="auto"/>
              <w:ind w:left="22" w:right="0" w:firstLine="0"/>
              <w:jc w:val="left"/>
            </w:pPr>
            <w:r>
              <w:rPr>
                <w:rFonts w:cs="Calibri" w:hAnsi="Calibri" w:eastAsia="Calibri" w:ascii="Calibri"/>
                <w:sz w:val="17"/>
              </w:rPr>
              <w:t xml:space="preserve">(100%*of*7*months)</w:t>
            </w:r>
          </w:p>
          <w:p>
            <w:pPr>
              <w:spacing w:before="0" w:after="0" w:line="259" w:lineRule="auto"/>
              <w:ind w:left="0" w:right="0" w:firstLine="0"/>
              <w:jc w:val="left"/>
            </w:pPr>
            <w:r>
              <w:rPr>
                <w:rFonts w:cs="Calibri" w:hAnsi="Calibri" w:eastAsia="Calibri" w:ascii="Calibri"/>
                <w:sz w:val="17"/>
              </w:rPr>
              <w:t xml:space="preserve">(100%*of*7*months*)</w:t>
            </w:r>
          </w:p>
        </w:tc>
        <w:tc>
          <w:tcPr>
            <w:tcW w:w="1350" w:type="dxa"/>
            <w:tcBorders>
              <w:top w:val="nil"/>
              <w:left w:val="nil"/>
              <w:bottom w:val="nil"/>
              <w:right w:val="nil"/>
            </w:tcBorders>
            <w:vAlign w:val="top"/>
          </w:tcPr>
          <w:p>
            <w:pPr>
              <w:spacing w:before="0" w:after="15" w:line="248" w:lineRule="auto"/>
              <w:ind w:left="21" w:right="250" w:firstLine="0"/>
              <w:jc w:val="left"/>
            </w:pPr>
            <w:r>
              <w:rPr>
                <w:rFonts w:cs="Calibri" w:hAnsi="Calibri" w:eastAsia="Calibri" w:ascii="Calibri"/>
                <w:sz w:val="17"/>
              </w:rPr>
              <w:t xml:space="preserve">Months Months</w:t>
            </w:r>
          </w:p>
          <w:p>
            <w:pPr>
              <w:spacing w:before="0" w:after="0" w:line="259" w:lineRule="auto"/>
              <w:ind w:left="21" w:right="225" w:hanging="21"/>
              <w:jc w:val="left"/>
            </w:pPr>
            <w:r>
              <w:rPr>
                <w:rFonts w:cs="Calibri" w:hAnsi="Calibri" w:eastAsia="Calibri" w:ascii="Calibri"/>
                <w:sz w:val="19"/>
              </w:rPr>
              <w:t xml:space="preserve">Months </w:t>
            </w:r>
            <w:r>
              <w:rPr>
                <w:rFonts w:cs="Calibri" w:hAnsi="Calibri" w:eastAsia="Calibri" w:ascii="Calibri"/>
                <w:sz w:val="17"/>
              </w:rPr>
              <w:t xml:space="preserve">Months</w:t>
            </w:r>
          </w:p>
        </w:tc>
        <w:tc>
          <w:tcPr>
            <w:tcW w:w="705" w:type="dxa"/>
            <w:tcBorders>
              <w:top w:val="nil"/>
              <w:left w:val="nil"/>
              <w:bottom w:val="nil"/>
              <w:right w:val="nil"/>
            </w:tcBorders>
            <w:vAlign w:val="top"/>
          </w:tcPr>
          <w:p>
            <w:pPr>
              <w:spacing w:before="0" w:after="0" w:line="259" w:lineRule="auto"/>
              <w:ind w:left="4" w:right="0" w:firstLine="0"/>
              <w:jc w:val="left"/>
            </w:pPr>
            <w:r>
              <w:rPr>
                <w:rFonts w:cs="Calibri" w:hAnsi="Calibri" w:eastAsia="Calibri" w:ascii="Calibri"/>
                <w:sz w:val="17"/>
              </w:rPr>
              <w:t xml:space="preserve">8</w:t>
            </w:r>
          </w:p>
          <w:p>
            <w:pPr>
              <w:spacing w:before="0" w:after="0" w:line="244" w:lineRule="auto"/>
              <w:ind w:left="0" w:right="521" w:firstLine="4"/>
              <w:jc w:val="left"/>
            </w:pPr>
            <w:r>
              <w:rPr>
                <w:rFonts w:cs="Calibri" w:hAnsi="Calibri" w:eastAsia="Calibri" w:ascii="Calibri"/>
                <w:sz w:val="17"/>
              </w:rPr>
              <w:t xml:space="preserve">8 </w:t>
            </w:r>
            <w:r>
              <w:rPr>
                <w:rFonts w:cs="Calibri" w:hAnsi="Calibri" w:eastAsia="Calibri" w:ascii="Calibri"/>
                <w:sz w:val="19"/>
              </w:rPr>
              <w:t xml:space="preserve">7</w:t>
            </w:r>
          </w:p>
          <w:p>
            <w:pPr>
              <w:spacing w:before="0" w:after="0" w:line="259" w:lineRule="auto"/>
              <w:ind w:left="4" w:right="0" w:firstLine="0"/>
              <w:jc w:val="left"/>
            </w:pPr>
            <w:r>
              <w:rPr>
                <w:rFonts w:cs="Calibri" w:hAnsi="Calibri" w:eastAsia="Calibri" w:ascii="Calibri"/>
                <w:sz w:val="17"/>
              </w:rPr>
              <w:t xml:space="preserve">7</w:t>
            </w:r>
          </w:p>
        </w:tc>
        <w:tc>
          <w:tcPr>
            <w:tcW w:w="2137" w:type="dxa"/>
            <w:tcBorders>
              <w:top w:val="nil"/>
              <w:left w:val="nil"/>
              <w:bottom w:val="nil"/>
              <w:right w:val="nil"/>
            </w:tcBorders>
            <w:vAlign w:val="top"/>
          </w:tcPr>
          <w:p>
            <w:pPr>
              <w:tabs>
                <w:tab w:val="right" w:pos="2137"/>
              </w:tabs>
              <w:spacing w:before="0" w:after="0" w:line="259" w:lineRule="auto"/>
              <w:ind w:left="0" w:right="0" w:firstLine="0"/>
              <w:jc w:val="left"/>
            </w:pPr>
            <w:r>
              <w:rPr>
                <w:rFonts w:cs="Calibri" w:hAnsi="Calibri" w:eastAsia="Calibri" w:ascii="Calibri"/>
                <w:sz w:val="17"/>
              </w:rPr>
              <w:t xml:space="preserve">$18,666.47	$149,331.76</w:t>
            </w:r>
          </w:p>
          <w:p>
            <w:pPr>
              <w:spacing w:before="0" w:after="11" w:line="259" w:lineRule="auto"/>
              <w:ind w:left="0" w:right="50" w:firstLine="0"/>
              <w:jc w:val="right"/>
            </w:pPr>
            <w:r>
              <w:rPr>
                <w:rFonts w:cs="Calibri" w:hAnsi="Calibri" w:eastAsia="Calibri" w:ascii="Calibri"/>
                <w:sz w:val="17"/>
              </w:rPr>
              <w:t xml:space="preserve">$18,666.47 $****</w:t>
            </w:r>
            <w:r>
              <w:rPr>
                <w:rFonts w:cs="Calibri" w:hAnsi="Calibri" w:eastAsia="Calibri" w:ascii="Calibri"/>
                <w:sz w:val="17"/>
              </w:rPr>
              <w:t xml:space="preserve">*</w:t>
            </w:r>
            <w:r>
              <w:rPr>
                <w:rFonts w:cs="Calibri" w:hAnsi="Calibri" w:eastAsia="Calibri" w:ascii="Calibri"/>
                <w:sz w:val="17"/>
              </w:rPr>
              <w:t xml:space="preserve">149,331.76</w:t>
            </w:r>
          </w:p>
          <w:p>
            <w:pPr>
              <w:tabs>
                <w:tab w:val="center" w:pos="602"/>
                <w:tab w:val="right" w:pos="2137"/>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7"/>
              </w:rPr>
              <w:t xml:space="preserve">$5,563.52	</w:t>
            </w:r>
            <w:r>
              <w:rPr>
                <w:rFonts w:cs="Calibri" w:hAnsi="Calibri" w:eastAsia="Calibri" w:ascii="Calibri"/>
                <w:sz w:val="19"/>
              </w:rPr>
              <w:t xml:space="preserve">$38,944.64</w:t>
            </w:r>
          </w:p>
          <w:p>
            <w:pPr>
              <w:tabs>
                <w:tab w:val="center" w:pos="602"/>
                <w:tab w:val="right" w:pos="2137"/>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7"/>
              </w:rPr>
              <w:t xml:space="preserve">$5,563.52	</w:t>
            </w:r>
            <w:r>
              <w:rPr>
                <w:rFonts w:cs="Calibri" w:hAnsi="Calibri" w:eastAsia="Calibri" w:ascii="Calibri"/>
                <w:sz w:val="19"/>
              </w:rPr>
              <w:t xml:space="preserve">$38,944.64</w:t>
            </w:r>
          </w:p>
        </w:tc>
      </w:tr>
    </w:tbl>
    <w:p>
      <w:pPr>
        <w:tabs>
          <w:tab w:val="center" w:pos="10662"/>
          <w:tab w:val="center" w:pos="11831"/>
        </w:tabs>
        <w:spacing w:before="0" w:after="0" w:line="265" w:lineRule="auto"/>
        <w:ind w:left="0" w:right="0" w:firstLine="0"/>
        <w:jc w:val="left"/>
      </w:pPr>
      <w:r>
        <w:rPr>
          <w:rFonts w:cs="Calibri" w:hAnsi="Calibri" w:eastAsia="Calibri" w:ascii="Calibri"/>
          <w:sz w:val="22"/>
        </w:rPr>
        <w:drawing>
          <wp:anchor simplePos="0" relativeHeight="0" locked="0" layoutInCell="1" allowOverlap="1" behindDoc="0">
            <wp:simplePos x="0" y="0"/>
            <wp:positionH relativeFrom="column">
              <wp:posOffset>5716880</wp:posOffset>
            </wp:positionH>
            <wp:positionV relativeFrom="paragraph">
              <wp:posOffset>-17992</wp:posOffset>
            </wp:positionV>
            <wp:extent cx="2085507" cy="28278"/>
            <wp:wrapNone/>
            <wp:docPr id="142246" name="Group 142246"/>
            <wp:cNvGraphicFramePr/>
            <a:graphic>
              <a:graphicData uri="http://schemas.microsoft.com/office/word/2010/wordprocessingGroup">
                <wpg:wgp>
                  <wpg:cNvGrpSpPr/>
                  <wpg:grpSpPr>
                    <a:xfrm>
                      <a:off x="0" y="0"/>
                      <a:ext cx="2085507" cy="28278"/>
                      <a:chOff x="0" y="0"/>
                      <a:chExt cx="2085507" cy="28278"/>
                    </a:xfrm>
                  </wpg:grpSpPr>
                  <wps:wsp>
                    <wps:cNvPr id="172449" name="Shape 172449"/>
                    <wps:cNvSpPr/>
                    <wps:spPr>
                      <a:xfrm>
                        <a:off x="0" y="0"/>
                        <a:ext cx="2085507" cy="9426"/>
                      </a:xfrm>
                      <a:custGeom>
                        <a:pathLst>
                          <a:path w="2085507" h="9426">
                            <a:moveTo>
                              <a:pt x="0" y="0"/>
                            </a:moveTo>
                            <a:lnTo>
                              <a:pt x="2085507" y="0"/>
                            </a:lnTo>
                            <a:lnTo>
                              <a:pt x="2085507" y="9426"/>
                            </a:lnTo>
                            <a:lnTo>
                              <a:pt x="0" y="9426"/>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50" name="Shape 172450"/>
                    <wps:cNvSpPr/>
                    <wps:spPr>
                      <a:xfrm>
                        <a:off x="0" y="18852"/>
                        <a:ext cx="2085507" cy="9426"/>
                      </a:xfrm>
                      <a:custGeom>
                        <a:pathLst>
                          <a:path w="2085507" h="9426">
                            <a:moveTo>
                              <a:pt x="0" y="0"/>
                            </a:moveTo>
                            <a:lnTo>
                              <a:pt x="2085507" y="0"/>
                            </a:lnTo>
                            <a:lnTo>
                              <a:pt x="2085507" y="9426"/>
                            </a:lnTo>
                            <a:lnTo>
                              <a:pt x="0" y="9426"/>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sz w:val="22"/>
        </w:rPr>
        <w:drawing>
          <wp:anchor simplePos="0" relativeHeight="0" locked="0" layoutInCell="1" allowOverlap="1" behindDoc="0">
            <wp:simplePos x="0" y="0"/>
            <wp:positionH relativeFrom="column">
              <wp:posOffset>4882678</wp:posOffset>
            </wp:positionH>
            <wp:positionV relativeFrom="paragraph">
              <wp:posOffset>976452</wp:posOffset>
            </wp:positionV>
            <wp:extent cx="2919709" cy="28278"/>
            <wp:wrapSquare wrapText="bothSides"/>
            <wp:docPr id="142247" name="Group 142247"/>
            <wp:cNvGraphicFramePr/>
            <a:graphic>
              <a:graphicData uri="http://schemas.microsoft.com/office/word/2010/wordprocessingGroup">
                <wpg:wgp>
                  <wpg:cNvGrpSpPr/>
                  <wpg:grpSpPr>
                    <a:xfrm>
                      <a:off x="0" y="0"/>
                      <a:ext cx="2919709" cy="28278"/>
                      <a:chOff x="0" y="0"/>
                      <a:chExt cx="2919709" cy="28278"/>
                    </a:xfrm>
                  </wpg:grpSpPr>
                  <wps:wsp>
                    <wps:cNvPr id="172451" name="Shape 172451"/>
                    <wps:cNvSpPr/>
                    <wps:spPr>
                      <a:xfrm>
                        <a:off x="0" y="0"/>
                        <a:ext cx="2919709" cy="9426"/>
                      </a:xfrm>
                      <a:custGeom>
                        <a:pathLst>
                          <a:path w="2919709" h="9426">
                            <a:moveTo>
                              <a:pt x="0" y="0"/>
                            </a:moveTo>
                            <a:lnTo>
                              <a:pt x="2919709" y="0"/>
                            </a:lnTo>
                            <a:lnTo>
                              <a:pt x="2919709" y="9426"/>
                            </a:lnTo>
                            <a:lnTo>
                              <a:pt x="0" y="9426"/>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52" name="Shape 172452"/>
                    <wps:cNvSpPr/>
                    <wps:spPr>
                      <a:xfrm>
                        <a:off x="0" y="18852"/>
                        <a:ext cx="2919709" cy="9426"/>
                      </a:xfrm>
                      <a:custGeom>
                        <a:pathLst>
                          <a:path w="2919709" h="9426">
                            <a:moveTo>
                              <a:pt x="0" y="0"/>
                            </a:moveTo>
                            <a:lnTo>
                              <a:pt x="2919709" y="0"/>
                            </a:lnTo>
                            <a:lnTo>
                              <a:pt x="2919709" y="9426"/>
                            </a:lnTo>
                            <a:lnTo>
                              <a:pt x="0" y="9426"/>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sz w:val="22"/>
        </w:rPr>
        <w:t xml:space="preserve">	</w:t>
      </w:r>
      <w:r>
        <w:rPr>
          <w:rFonts w:cs="Calibri" w:hAnsi="Calibri" w:eastAsia="Calibri" w:ascii="Calibri"/>
          <w:b w:val="1"/>
          <w:sz w:val="17"/>
        </w:rPr>
        <w:t xml:space="preserve">SUBTOTAL:	</w:t>
      </w:r>
      <w:r>
        <w:rPr>
          <w:rFonts w:cs="Calibri" w:hAnsi="Calibri" w:eastAsia="Calibri" w:ascii="Calibri"/>
          <w:b w:val="1"/>
          <w:sz w:val="17"/>
        </w:rPr>
        <w:t xml:space="preserve">$400,198.83</w:t>
      </w:r>
    </w:p>
    <w:p>
      <w:pPr>
        <w:tabs>
          <w:tab w:val="center" w:pos="10662"/>
          <w:tab w:val="center" w:pos="11820"/>
        </w:tabs>
        <w:spacing w:before="33" w:after="0" w:line="265" w:lineRule="auto"/>
        <w:ind w:left="0" w:right="0" w:firstLine="0"/>
        <w:jc w:val="left"/>
      </w:pPr>
      <w:r>
        <w:rPr>
          <w:rFonts w:cs="Calibri" w:hAnsi="Calibri" w:eastAsia="Calibri" w:ascii="Calibri"/>
          <w:sz w:val="22"/>
        </w:rPr>
        <w:t xml:space="preserve">	</w:t>
      </w:r>
      <w:r>
        <w:rPr>
          <w:rFonts w:cs="Calibri" w:hAnsi="Calibri" w:eastAsia="Calibri" w:ascii="Calibri"/>
          <w:b w:val="1"/>
          <w:sz w:val="17"/>
        </w:rPr>
        <w:t xml:space="preserve">SUBTOTAL:	</w:t>
      </w:r>
      <w:r>
        <w:rPr>
          <w:rFonts w:cs="Calibri" w:hAnsi="Calibri" w:eastAsia="Calibri" w:ascii="Calibri"/>
          <w:b w:val="1"/>
          <w:sz w:val="17"/>
        </w:rPr>
        <w:t xml:space="preserve">$376,552.80</w:t>
      </w:r>
    </w:p>
    <w:tbl>
      <w:tblPr>
        <w:tblStyle w:val="TableGrid"/>
        <w:tblW w:w="12313" w:type="dxa"/>
        <w:tblInd w:w="-30" w:type="dxa"/>
        <w:tblCellMar>
          <w:top w:w="0" w:type="dxa"/>
          <w:left w:w="115" w:type="dxa"/>
          <w:bottom w:w="0" w:type="dxa"/>
          <w:right w:w="30" w:type="dxa"/>
        </w:tblCellMar>
      </w:tblPr>
      <w:tblGrid>
        <w:gridCol w:w="11122"/>
        <w:gridCol w:w="1191"/>
      </w:tblGrid>
      <w:tr>
        <w:trPr>
          <w:trHeight w:val="230" w:hRule="atLeast"/>
        </w:trPr>
        <w:tc>
          <w:tcPr>
            <w:tcW w:w="11122" w:type="dxa"/>
            <w:tcBorders>
              <w:top w:val="single" w:sz="12" w:color="000000"/>
              <w:left w:val="single" w:sz="12" w:color="000000"/>
              <w:bottom w:val="single" w:sz="12" w:color="000000"/>
              <w:right w:val="single" w:sz="12" w:color="000000"/>
            </w:tcBorders>
            <w:shd w:val="clear" w:fill="f3dcda"/>
            <w:vAlign w:val="top"/>
          </w:tcPr>
          <w:p>
            <w:pPr>
              <w:spacing w:before="0" w:after="0" w:line="259" w:lineRule="auto"/>
              <w:ind w:left="0" w:right="50" w:firstLine="0"/>
              <w:jc w:val="right"/>
            </w:pPr>
            <w:r>
              <w:rPr>
                <w:rFonts w:cs="Calibri" w:hAnsi="Calibri" w:eastAsia="Calibri" w:ascii="Calibri"/>
                <w:b w:val="1"/>
                <w:sz w:val="17"/>
              </w:rPr>
              <w:t xml:space="preserve">TOTAL!ESTIMATED!COMPONENT/OUTPUT!COSTS!2013^2014:</w:t>
            </w:r>
          </w:p>
        </w:tc>
        <w:tc>
          <w:tcPr>
            <w:tcW w:w="1191" w:type="dxa"/>
            <w:tcBorders>
              <w:top w:val="single" w:sz="12" w:color="000000"/>
              <w:left w:val="single" w:sz="12" w:color="000000"/>
              <w:bottom w:val="single" w:sz="12" w:color="000000"/>
              <w:right w:val="single" w:sz="12" w:color="000000"/>
            </w:tcBorders>
            <w:shd w:val="clear" w:fill="f3dcda"/>
            <w:vAlign w:val="top"/>
          </w:tcPr>
          <w:p>
            <w:pPr>
              <w:spacing w:before="0" w:after="0" w:line="259" w:lineRule="auto"/>
              <w:ind w:left="0" w:right="0" w:firstLine="0"/>
              <w:jc w:val="right"/>
            </w:pPr>
            <w:r>
              <w:rPr>
                <w:rFonts w:cs="Calibri" w:hAnsi="Calibri" w:eastAsia="Calibri" w:ascii="Calibri"/>
                <w:b w:val="1"/>
                <w:sz w:val="17"/>
              </w:rPr>
              <w:t xml:space="preserve">$874,339.63</w:t>
            </w:r>
          </w:p>
        </w:tc>
      </w:tr>
    </w:tbl>
    <w:p>
      <w:pPr>
        <w:tabs>
          <w:tab w:val="center" w:pos="6170"/>
          <w:tab w:val="center" w:pos="12073"/>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sz w:val="17"/>
        </w:rPr>
        <w:t xml:space="preserve">2*OF*2	</w:t>
      </w:r>
      <w:r>
        <w:rPr>
          <w:rFonts w:cs="Calibri" w:hAnsi="Calibri" w:eastAsia="Calibri" w:ascii="Calibri"/>
          <w:sz w:val="17"/>
        </w:rPr>
        <w:t xml:space="preserve">7/1/13</w:t>
      </w:r>
    </w:p>
    <w:p>
      <w:pPr>
        <w:pStyle w:val="heading5"/>
        <w:spacing w:before="0" w:after="343" w:line="259" w:lineRule="auto"/>
        <w:ind w:left="0" w:right="143" w:firstLine="0"/>
        <w:jc w:val="center"/>
      </w:pPr>
      <w:r>
        <w:rPr>
          <w:rFonts w:cs="Calibri" w:hAnsi="Calibri" w:eastAsia="Calibri" w:ascii="Calibri"/>
          <w:b w:val="0"/>
          <w:i w:val="0"/>
          <w:sz w:val="18"/>
        </w:rPr>
        <w:t xml:space="preserve">DEMOCRATIC*EMPOWERMENT*PROJECT*WORK*PLAN*BUDGET*2013*8*2014*</w:t>
      </w:r>
    </w:p>
    <w:p>
      <w:pPr>
        <w:shd w:val="clear" w:color="auto" w:fill="eaf1dd"/>
        <w:spacing w:before="0" w:after="85" w:line="259" w:lineRule="auto"/>
        <w:ind w:left="60" w:right="0" w:firstLine="0"/>
        <w:jc w:val="left"/>
      </w:pPr>
      <w:r>
        <w:rPr>
          <w:rFonts w:cs="Calibri" w:hAnsi="Calibri" w:eastAsia="Calibri" w:ascii="Calibri"/>
          <w:b w:val="1"/>
          <w:sz w:val="18"/>
        </w:rPr>
        <w:t xml:space="preserve">COMPONENT/2://SUPPORT/IMPROVEMENT/OF/EMB/INTEGRITY/AND/MANAGEMENT/CAPACITIES/</w:t>
      </w:r>
    </w:p>
    <w:p>
      <w:pPr>
        <w:spacing w:before="0" w:after="0" w:line="259" w:lineRule="auto"/>
        <w:ind w:left="-1" w:right="0"/>
        <w:jc w:val="left"/>
      </w:pPr>
      <w:r>
        <w:rPr>
          <w:rFonts w:cs="Calibri" w:hAnsi="Calibri" w:eastAsia="Calibri" w:ascii="Calibri"/>
          <w:b w:val="1"/>
          <w:sz w:val="18"/>
        </w:rPr>
        <w:t xml:space="preserve">Output/2.6./Mechanism/for/election/observer/access/to/electoral/process/improved</w:t>
      </w:r>
    </w:p>
    <w:tbl>
      <w:tblPr>
        <w:tblStyle w:val="TableGrid"/>
        <w:tblW w:w="12283" w:type="dxa"/>
        <w:tblInd w:w="-28" w:type="dxa"/>
        <w:tblCellMar>
          <w:top w:w="0" w:type="dxa"/>
          <w:left w:w="0" w:type="dxa"/>
          <w:bottom w:w="0" w:type="dxa"/>
          <w:right w:w="33" w:type="dxa"/>
        </w:tblCellMar>
      </w:tblPr>
      <w:tblGrid>
        <w:gridCol w:w="5295"/>
        <w:gridCol w:w="3200"/>
        <w:gridCol w:w="1036"/>
        <w:gridCol w:w="770"/>
        <w:gridCol w:w="1981"/>
      </w:tblGrid>
      <w:tr>
        <w:trPr>
          <w:trHeight w:val="234" w:hRule="atLeast"/>
        </w:trPr>
        <w:tc>
          <w:tcPr>
            <w:tcW w:w="12283" w:type="dxa"/>
            <w:gridSpan w:val="5"/>
            <w:tcBorders>
              <w:top w:val="nil"/>
              <w:left w:val="nil"/>
              <w:bottom w:val="nil"/>
              <w:right w:val="nil"/>
            </w:tcBorders>
            <w:shd w:val="clear" w:fill="dce6f1"/>
            <w:vAlign w:val="top"/>
          </w:tcPr>
          <w:p>
            <w:pPr>
              <w:tabs>
                <w:tab w:val="center" w:pos="447"/>
                <w:tab w:val="center" w:pos="5843"/>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8"/>
              </w:rPr>
              <w:t xml:space="preserve">2.6.1.	</w:t>
            </w:r>
            <w:r>
              <w:rPr>
                <w:rFonts w:cs="Calibri" w:hAnsi="Calibri" w:eastAsia="Calibri" w:ascii="Calibri"/>
                <w:b w:val="1"/>
                <w:sz w:val="18"/>
              </w:rPr>
              <w:t xml:space="preserve">//Support/the/EMBs/to/develop/observer/engagement/strategies/before/and/during/and/after/the/referendum/and/general/elections/</w:t>
            </w:r>
          </w:p>
        </w:tc>
      </w:tr>
      <w:tr>
        <w:trPr>
          <w:trHeight w:val="1179" w:hRule="atLeast"/>
        </w:trPr>
        <w:tc>
          <w:tcPr>
            <w:tcW w:w="5295" w:type="dxa"/>
            <w:vMerge w:val="restart"/>
            <w:tcBorders>
              <w:top w:val="nil"/>
              <w:left w:val="nil"/>
              <w:bottom w:val="nil"/>
              <w:right w:val="nil"/>
            </w:tcBorders>
            <w:vAlign w:val="top"/>
          </w:tcPr>
          <w:p>
            <w:pPr>
              <w:spacing w:before="0" w:after="0" w:line="259" w:lineRule="auto"/>
              <w:ind w:left="30" w:right="0" w:firstLine="2"/>
              <w:jc w:val="left"/>
            </w:pPr>
            <w:r>
              <w:rPr>
                <w:rFonts w:cs="Calibri" w:hAnsi="Calibri" w:eastAsia="Calibri" w:ascii="Calibri"/>
                <w:sz w:val="18"/>
              </w:rPr>
              <w:t xml:space="preserve">*A.**Workshop*on*EMB*engagement*with*national*&amp;*international* election*observation*missions.**Explore*options*based*on*Tanzania's* experience*and*that*of*both*EMBs*and*observer*groups*from*the* region*and*beyond.*</w:t>
            </w:r>
          </w:p>
        </w:tc>
        <w:tc>
          <w:tcPr>
            <w:tcW w:w="3200" w:type="dxa"/>
            <w:vMerge w:val="restart"/>
            <w:tcBorders>
              <w:top w:val="nil"/>
              <w:left w:val="nil"/>
              <w:bottom w:val="nil"/>
              <w:right w:val="nil"/>
            </w:tcBorders>
            <w:vAlign w:val="top"/>
          </w:tcPr>
          <w:p>
            <w:pPr>
              <w:spacing w:before="0" w:after="0" w:line="259" w:lineRule="auto"/>
              <w:ind w:left="1" w:right="0" w:firstLine="0"/>
              <w:jc w:val="left"/>
            </w:pPr>
            <w:r>
              <w:rPr>
                <w:rFonts w:cs="Calibri" w:hAnsi="Calibri" w:eastAsia="Calibri" w:ascii="Calibri"/>
                <w:sz w:val="18"/>
              </w:rPr>
              <w:t xml:space="preserve">*Intl.*Consultants*8*Election*</w:t>
            </w:r>
          </w:p>
          <w:p>
            <w:pPr>
              <w:spacing w:before="0" w:after="0" w:line="259" w:lineRule="auto"/>
              <w:ind w:left="0" w:right="0" w:firstLine="0"/>
              <w:jc w:val="left"/>
            </w:pPr>
            <w:r>
              <w:rPr>
                <w:rFonts w:cs="Calibri" w:hAnsi="Calibri" w:eastAsia="Calibri" w:ascii="Calibri"/>
                <w:sz w:val="18"/>
              </w:rPr>
              <w:t xml:space="preserve">Observation*(2)*</w:t>
            </w:r>
          </w:p>
          <w:p>
            <w:pPr>
              <w:spacing w:before="0" w:after="0" w:line="259" w:lineRule="auto"/>
              <w:ind w:left="56" w:right="0" w:firstLine="0"/>
              <w:jc w:val="left"/>
            </w:pPr>
            <w:r>
              <w:rPr>
                <w:rFonts w:cs="Calibri" w:hAnsi="Calibri" w:eastAsia="Calibri" w:ascii="Calibri"/>
                <w:sz w:val="18"/>
              </w:rPr>
              <w:t xml:space="preserve">Intl.*Consultant*8*DSA</w:t>
            </w:r>
          </w:p>
          <w:p>
            <w:pPr>
              <w:spacing w:before="0" w:after="0" w:line="259" w:lineRule="auto"/>
              <w:ind w:left="56" w:right="0" w:firstLine="0"/>
              <w:jc w:val="left"/>
            </w:pPr>
            <w:r>
              <w:rPr>
                <w:rFonts w:cs="Calibri" w:hAnsi="Calibri" w:eastAsia="Calibri" w:ascii="Calibri"/>
                <w:sz w:val="18"/>
              </w:rPr>
              <w:t xml:space="preserve">Intl.*Consultant*8*Airfare</w:t>
            </w:r>
          </w:p>
          <w:p>
            <w:pPr>
              <w:spacing w:before="0" w:after="0" w:line="259" w:lineRule="auto"/>
              <w:ind w:left="56" w:right="0" w:firstLine="0"/>
              <w:jc w:val="left"/>
            </w:pPr>
            <w:r>
              <w:rPr>
                <w:rFonts w:cs="Calibri" w:hAnsi="Calibri" w:eastAsia="Calibri" w:ascii="Calibri"/>
                <w:sz w:val="18"/>
              </w:rPr>
              <w:t xml:space="preserve">Meeting*Costs</w:t>
            </w:r>
          </w:p>
        </w:tc>
        <w:tc>
          <w:tcPr>
            <w:tcW w:w="1036" w:type="dxa"/>
            <w:tcBorders>
              <w:top w:val="nil"/>
              <w:left w:val="nil"/>
              <w:bottom w:val="double" w:sz="6" w:color="000000"/>
              <w:right w:val="nil"/>
            </w:tcBorders>
            <w:vAlign w:val="top"/>
          </w:tcPr>
          <w:p>
            <w:pPr>
              <w:spacing w:before="0" w:after="220" w:line="259" w:lineRule="auto"/>
              <w:ind w:left="0" w:right="0" w:firstLine="0"/>
              <w:jc w:val="left"/>
            </w:pPr>
            <w:r>
              <w:rPr>
                <w:rFonts w:cs="Calibri" w:hAnsi="Calibri" w:eastAsia="Calibri" w:ascii="Calibri"/>
                <w:sz w:val="18"/>
              </w:rPr>
              <w:t xml:space="preserve">Days</w:t>
            </w:r>
          </w:p>
          <w:p>
            <w:pPr>
              <w:spacing w:before="0" w:after="0" w:line="259" w:lineRule="auto"/>
              <w:ind w:left="0" w:right="0" w:firstLine="0"/>
              <w:jc w:val="left"/>
            </w:pPr>
            <w:r>
              <w:rPr>
                <w:rFonts w:cs="Calibri" w:hAnsi="Calibri" w:eastAsia="Calibri" w:ascii="Calibri"/>
                <w:sz w:val="18"/>
              </w:rPr>
              <w:t xml:space="preserve">Days</w:t>
            </w:r>
          </w:p>
          <w:p>
            <w:pPr>
              <w:spacing w:before="0" w:after="0" w:line="259" w:lineRule="auto"/>
              <w:ind w:left="48" w:right="0" w:firstLine="0"/>
              <w:jc w:val="left"/>
            </w:pPr>
            <w:r>
              <w:rPr>
                <w:rFonts w:cs="Calibri" w:hAnsi="Calibri" w:eastAsia="Calibri" w:ascii="Calibri"/>
                <w:sz w:val="18"/>
              </w:rPr>
              <w:t xml:space="preserve">R/T</w:t>
            </w:r>
          </w:p>
          <w:p>
            <w:pPr>
              <w:spacing w:before="0" w:after="0" w:line="259" w:lineRule="auto"/>
              <w:ind w:left="12" w:right="0" w:firstLine="0"/>
              <w:jc w:val="left"/>
            </w:pPr>
            <w:r>
              <w:rPr>
                <w:rFonts w:cs="Calibri" w:hAnsi="Calibri" w:eastAsia="Calibri" w:ascii="Calibri"/>
                <w:sz w:val="18"/>
              </w:rPr>
              <w:t xml:space="preserve">Pool</w:t>
            </w:r>
          </w:p>
        </w:tc>
        <w:tc>
          <w:tcPr>
            <w:tcW w:w="770" w:type="dxa"/>
            <w:tcBorders>
              <w:top w:val="nil"/>
              <w:left w:val="nil"/>
              <w:bottom w:val="double" w:sz="6" w:color="000000"/>
              <w:right w:val="nil"/>
            </w:tcBorders>
            <w:vAlign w:val="top"/>
          </w:tcPr>
          <w:p>
            <w:pPr>
              <w:spacing w:before="0" w:after="220" w:line="259" w:lineRule="auto"/>
              <w:ind w:left="0" w:right="0" w:firstLine="0"/>
              <w:jc w:val="left"/>
            </w:pPr>
            <w:r>
              <w:rPr>
                <w:rFonts w:cs="Calibri" w:hAnsi="Calibri" w:eastAsia="Calibri" w:ascii="Calibri"/>
                <w:sz w:val="18"/>
              </w:rPr>
              <w:t xml:space="preserve">15</w:t>
            </w:r>
          </w:p>
          <w:p>
            <w:pPr>
              <w:spacing w:before="0" w:after="0" w:line="259" w:lineRule="auto"/>
              <w:ind w:left="0" w:right="0" w:firstLine="0"/>
              <w:jc w:val="left"/>
            </w:pPr>
            <w:r>
              <w:rPr>
                <w:rFonts w:cs="Calibri" w:hAnsi="Calibri" w:eastAsia="Calibri" w:ascii="Calibri"/>
                <w:sz w:val="18"/>
              </w:rPr>
              <w:t xml:space="preserve">21</w:t>
            </w:r>
          </w:p>
          <w:p>
            <w:pPr>
              <w:spacing w:before="0" w:after="0" w:line="259" w:lineRule="auto"/>
              <w:ind w:left="44" w:right="0" w:firstLine="0"/>
              <w:jc w:val="left"/>
            </w:pPr>
            <w:r>
              <w:rPr>
                <w:rFonts w:cs="Calibri" w:hAnsi="Calibri" w:eastAsia="Calibri" w:ascii="Calibri"/>
                <w:sz w:val="18"/>
              </w:rPr>
              <w:t xml:space="preserve">2</w:t>
            </w:r>
          </w:p>
          <w:p>
            <w:pPr>
              <w:spacing w:before="0" w:after="0" w:line="259" w:lineRule="auto"/>
              <w:ind w:left="44" w:right="0" w:firstLine="0"/>
              <w:jc w:val="left"/>
            </w:pPr>
            <w:r>
              <w:rPr>
                <w:rFonts w:cs="Calibri" w:hAnsi="Calibri" w:eastAsia="Calibri" w:ascii="Calibri"/>
                <w:sz w:val="18"/>
              </w:rPr>
              <w:t xml:space="preserve">1</w:t>
            </w:r>
          </w:p>
        </w:tc>
        <w:tc>
          <w:tcPr>
            <w:tcW w:w="1981" w:type="dxa"/>
            <w:tcBorders>
              <w:top w:val="nil"/>
              <w:left w:val="nil"/>
              <w:bottom w:val="double" w:sz="6" w:color="000000"/>
              <w:right w:val="nil"/>
            </w:tcBorders>
            <w:vAlign w:val="top"/>
          </w:tcPr>
          <w:p>
            <w:pPr>
              <w:tabs>
                <w:tab w:val="right" w:pos="1948"/>
              </w:tabs>
              <w:spacing w:before="0" w:after="220" w:line="259" w:lineRule="auto"/>
              <w:ind w:left="0" w:right="0" w:firstLine="0"/>
              <w:jc w:val="left"/>
            </w:pPr>
            <w:r>
              <w:rPr>
                <w:rFonts w:cs="Calibri" w:hAnsi="Calibri" w:eastAsia="Calibri" w:ascii="Calibri"/>
                <w:sz w:val="18"/>
              </w:rPr>
              <w:t xml:space="preserve">$750.00	$11,250.00</w:t>
            </w:r>
          </w:p>
          <w:p>
            <w:pPr>
              <w:tabs>
                <w:tab w:val="right" w:pos="1948"/>
              </w:tabs>
              <w:spacing w:before="0" w:after="0" w:line="259" w:lineRule="auto"/>
              <w:ind w:left="0" w:right="0" w:firstLine="0"/>
              <w:jc w:val="left"/>
            </w:pPr>
            <w:r>
              <w:rPr>
                <w:rFonts w:cs="Calibri" w:hAnsi="Calibri" w:eastAsia="Calibri" w:ascii="Calibri"/>
                <w:sz w:val="18"/>
              </w:rPr>
              <w:t xml:space="preserve">$216.00	$4,536.00</w:t>
            </w:r>
          </w:p>
          <w:p>
            <w:pPr>
              <w:tabs>
                <w:tab w:val="right" w:pos="1948"/>
              </w:tabs>
              <w:spacing w:before="0" w:after="0" w:line="259" w:lineRule="auto"/>
              <w:ind w:left="0" w:right="0" w:firstLine="0"/>
              <w:jc w:val="left"/>
            </w:pPr>
            <w:r>
              <w:rPr>
                <w:rFonts w:cs="Calibri" w:hAnsi="Calibri" w:eastAsia="Calibri" w:ascii="Calibri"/>
                <w:sz w:val="18"/>
              </w:rPr>
              <w:t xml:space="preserve">$2,000.00	$4,000.00</w:t>
            </w:r>
          </w:p>
          <w:p>
            <w:pPr>
              <w:tabs>
                <w:tab w:val="right" w:pos="1948"/>
              </w:tabs>
              <w:spacing w:before="0" w:after="0" w:line="259" w:lineRule="auto"/>
              <w:ind w:left="0" w:right="0" w:firstLine="0"/>
              <w:jc w:val="left"/>
            </w:pPr>
            <w:r>
              <w:rPr>
                <w:rFonts w:cs="Calibri" w:hAnsi="Calibri" w:eastAsia="Calibri" w:ascii="Calibri"/>
                <w:sz w:val="18"/>
              </w:rPr>
              <w:t xml:space="preserve">$5,000.00	$5,000.00</w:t>
            </w:r>
          </w:p>
        </w:tc>
      </w:tr>
      <w:tr>
        <w:trPr>
          <w:trHeight w:val="246"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036" w:type="dxa"/>
            <w:tcBorders>
              <w:top w:val="double" w:sz="6" w:color="000000"/>
              <w:left w:val="nil"/>
              <w:bottom w:val="nil"/>
              <w:right w:val="nil"/>
            </w:tcBorders>
            <w:vAlign w:val="top"/>
          </w:tcPr>
          <w:p>
            <w:pPr>
              <w:bidi w:val="0"/>
              <w:spacing w:before="0" w:after="160" w:line="259" w:lineRule="auto"/>
              <w:ind w:left="0" w:right="0" w:firstLine="0"/>
              <w:jc w:val="left"/>
            </w:pPr>
          </w:p>
        </w:tc>
        <w:tc>
          <w:tcPr>
            <w:tcW w:w="770" w:type="dxa"/>
            <w:tcBorders>
              <w:top w:val="double" w:sz="6" w:color="000000"/>
              <w:left w:val="nil"/>
              <w:bottom w:val="nil"/>
              <w:right w:val="nil"/>
            </w:tcBorders>
            <w:vAlign w:val="top"/>
          </w:tcPr>
          <w:p>
            <w:pPr>
              <w:bidi w:val="0"/>
              <w:spacing w:before="0" w:after="160" w:line="259" w:lineRule="auto"/>
              <w:ind w:left="0" w:right="0" w:firstLine="0"/>
              <w:jc w:val="left"/>
            </w:pPr>
          </w:p>
        </w:tc>
        <w:tc>
          <w:tcPr>
            <w:tcW w:w="1981" w:type="dxa"/>
            <w:tcBorders>
              <w:top w:val="double" w:sz="6" w:color="000000"/>
              <w:left w:val="nil"/>
              <w:bottom w:val="nil"/>
              <w:right w:val="nil"/>
            </w:tcBorders>
            <w:vAlign w:val="top"/>
          </w:tcPr>
          <w:p>
            <w:pPr>
              <w:spacing w:before="0" w:after="0" w:line="259" w:lineRule="auto"/>
              <w:ind w:left="0" w:right="0" w:firstLine="0"/>
              <w:jc w:val="right"/>
            </w:pPr>
            <w:r>
              <w:rPr>
                <w:rFonts w:cs="Calibri" w:hAnsi="Calibri" w:eastAsia="Calibri" w:ascii="Calibri"/>
                <w:b w:val="1"/>
                <w:sz w:val="18"/>
              </w:rPr>
              <w:t xml:space="preserve">$19,786.00</w:t>
            </w:r>
          </w:p>
        </w:tc>
      </w:tr>
      <w:tr>
        <w:trPr>
          <w:trHeight w:val="464" w:hRule="atLeast"/>
        </w:trPr>
        <w:tc>
          <w:tcPr>
            <w:tcW w:w="12283" w:type="dxa"/>
            <w:gridSpan w:val="5"/>
            <w:tcBorders>
              <w:top w:val="nil"/>
              <w:left w:val="nil"/>
              <w:bottom w:val="nil"/>
              <w:right w:val="nil"/>
            </w:tcBorders>
            <w:shd w:val="clear" w:fill="dce6f1"/>
            <w:vAlign w:val="top"/>
          </w:tcPr>
          <w:p>
            <w:pPr>
              <w:spacing w:before="0" w:after="0" w:line="259" w:lineRule="auto"/>
              <w:ind w:left="236" w:right="0" w:firstLine="0"/>
              <w:jc w:val="left"/>
            </w:pPr>
            <w:r>
              <w:rPr>
                <w:rFonts w:cs="Calibri" w:hAnsi="Calibri" w:eastAsia="Calibri" w:ascii="Calibri"/>
                <w:b w:val="1"/>
                <w:sz w:val="18"/>
              </w:rPr>
              <w:t xml:space="preserve">2.6.2.</w:t>
            </w:r>
          </w:p>
          <w:p>
            <w:pPr>
              <w:spacing w:before="0" w:after="0" w:line="259" w:lineRule="auto"/>
              <w:ind w:left="909" w:right="0" w:firstLine="0"/>
              <w:jc w:val="left"/>
            </w:pPr>
            <w:r>
              <w:rPr>
                <w:rFonts w:cs="Calibri" w:hAnsi="Calibri" w:eastAsia="Calibri" w:ascii="Calibri"/>
                <w:b w:val="1"/>
                <w:sz w:val="18"/>
              </w:rPr>
              <w:t xml:space="preserve">/Support/EMB/planning/and/implementation/of/efficient/procedures/for/invitation,/accreditation,/briefing/and/debriefing/of/observer/delegations.//</w:t>
            </w:r>
          </w:p>
        </w:tc>
      </w:tr>
    </w:tbl>
    <w:p>
      <w:pPr>
        <w:spacing w:before="0" w:after="0" w:line="263" w:lineRule="auto"/>
        <w:ind w:left="-5" w:right="0" w:hanging="8"/>
        <w:jc w:val="left"/>
      </w:pPr>
      <w:r>
        <w:rPr>
          <w:rFonts w:cs="Calibri" w:hAnsi="Calibri" w:eastAsia="Calibri" w:ascii="Calibri"/>
          <w:sz w:val="18"/>
        </w:rPr>
        <w:t xml:space="preserve">*A.**Develop*a*database*that*can*be*used*to*process*and*track*	*Service*Contract*8**Database*	Pool	</w:t>
      </w:r>
      <w:r>
        <w:rPr>
          <w:rFonts w:cs="Calibri" w:hAnsi="Calibri" w:eastAsia="Calibri" w:ascii="Calibri"/>
          <w:sz w:val="18"/>
        </w:rPr>
        <w:t xml:space="preserve">1	$20,000.00	$20,000.00 </w:t>
      </w:r>
      <w:r>
        <w:rPr>
          <w:rFonts w:cs="Calibri" w:hAnsi="Calibri" w:eastAsia="Calibri" w:ascii="Calibri"/>
          <w:sz w:val="18"/>
        </w:rPr>
        <w:t xml:space="preserve">national/international*election*observation*accreditations*for*use*by* both*EMBs.*</w:t>
      </w:r>
    </w:p>
    <w:p>
      <w:pPr>
        <w:spacing w:before="0" w:after="0" w:line="259" w:lineRule="auto"/>
        <w:ind w:left="8197" w:right="0" w:firstLine="0"/>
        <w:jc w:val="left"/>
      </w:pPr>
      <w:r>
        <w:rPr>
          <w:rFonts w:cs="Calibri" w:hAnsi="Calibri" w:eastAsia="Calibri" w:ascii="Calibri"/>
          <w:sz w:val="22"/>
        </w:rPr>
        <w:drawing>
          <wp:inline distT="0" distB="0" distL="0" distR="0">
            <wp:extent cx="2576371" cy="30251"/>
            <wp:docPr id="144229" name="Group 144229"/>
            <wp:cNvGraphicFramePr/>
            <a:graphic>
              <a:graphicData uri="http://schemas.microsoft.com/office/word/2010/wordprocessingGroup">
                <wpg:wgp>
                  <wpg:cNvGrpSpPr/>
                  <wpg:grpSpPr>
                    <a:xfrm>
                      <a:off x="0" y="0"/>
                      <a:ext cx="2576371" cy="30251"/>
                      <a:chOff x="0" y="0"/>
                      <a:chExt cx="2576371" cy="30251"/>
                    </a:xfrm>
                  </wpg:grpSpPr>
                  <wps:wsp>
                    <wps:cNvPr id="172453" name="Shape 172453"/>
                    <wps:cNvSpPr/>
                    <wps:spPr>
                      <a:xfrm>
                        <a:off x="0" y="0"/>
                        <a:ext cx="2576371" cy="10082"/>
                      </a:xfrm>
                      <a:custGeom>
                        <a:pathLst>
                          <a:path w="2576371" h="10082">
                            <a:moveTo>
                              <a:pt x="0" y="0"/>
                            </a:moveTo>
                            <a:lnTo>
                              <a:pt x="2576371" y="0"/>
                            </a:lnTo>
                            <a:lnTo>
                              <a:pt x="2576371" y="10082"/>
                            </a:lnTo>
                            <a:lnTo>
                              <a:pt x="0" y="10082"/>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54" name="Shape 172454"/>
                    <wps:cNvSpPr/>
                    <wps:spPr>
                      <a:xfrm>
                        <a:off x="0" y="20167"/>
                        <a:ext cx="2576371" cy="10084"/>
                      </a:xfrm>
                      <a:custGeom>
                        <a:pathLst>
                          <a:path w="2576371" h="10084">
                            <a:moveTo>
                              <a:pt x="0" y="0"/>
                            </a:moveTo>
                            <a:lnTo>
                              <a:pt x="2576371" y="0"/>
                            </a:lnTo>
                            <a:lnTo>
                              <a:pt x="2576371" y="10084"/>
                            </a:lnTo>
                            <a:lnTo>
                              <a:pt x="0" y="10084"/>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spacing w:before="0" w:after="223" w:line="259" w:lineRule="auto"/>
        <w:ind w:left="10" w:right="265"/>
        <w:jc w:val="right"/>
      </w:pPr>
      <w:r>
        <w:rPr>
          <w:rFonts w:cs="Calibri" w:hAnsi="Calibri" w:eastAsia="Calibri" w:ascii="Calibri"/>
          <w:sz w:val="18"/>
        </w:rPr>
        <w:t xml:space="preserve">$20,000.00</w:t>
      </w:r>
    </w:p>
    <w:p>
      <w:pPr>
        <w:spacing w:before="0" w:after="0" w:line="263" w:lineRule="auto"/>
        <w:ind w:left="-5" w:right="0" w:hanging="8"/>
        <w:jc w:val="left"/>
      </w:pPr>
      <w:r>
        <w:rPr>
          <w:rFonts w:cs="Calibri" w:hAnsi="Calibri" w:eastAsia="Calibri" w:ascii="Calibri"/>
          <w:sz w:val="18"/>
        </w:rPr>
        <w:t xml:space="preserve">*B.**Procurement*of*Observer*Accreditation*Card*processing* To*be*specified </w:t>
      </w:r>
      <w:r>
        <w:rPr>
          <w:rFonts w:cs="Calibri" w:hAnsi="Calibri" w:eastAsia="Calibri" w:ascii="Calibri"/>
          <w:sz w:val="18"/>
          <w:u w:val="single" w:color="000000"/>
        </w:rPr>
        <w:t xml:space="preserve">Pool </w:t>
      </w:r>
      <w:r>
        <w:rPr>
          <w:rFonts w:cs="Calibri" w:hAnsi="Calibri" w:eastAsia="Calibri" w:ascii="Calibri"/>
          <w:sz w:val="18"/>
          <w:u w:val="single" w:color="000000"/>
        </w:rPr>
        <w:t xml:space="preserve">1 $25,000.00 $50,000.00 </w:t>
      </w:r>
      <w:r>
        <w:rPr>
          <w:rFonts w:cs="Calibri" w:hAnsi="Calibri" w:eastAsia="Calibri" w:ascii="Calibri"/>
          <w:sz w:val="18"/>
        </w:rPr>
        <w:t xml:space="preserve">equipment*and*supplies*for*both*EMBs.*	</w:t>
      </w:r>
      <w:r>
        <w:rPr>
          <w:rFonts w:cs="Calibri" w:hAnsi="Calibri" w:eastAsia="Calibri" w:ascii="Calibri"/>
          <w:sz w:val="22"/>
        </w:rPr>
        <w:drawing>
          <wp:inline distT="0" distB="0" distL="0" distR="0">
            <wp:extent cx="2576371" cy="10084"/>
            <wp:docPr id="144230" name="Group 144230"/>
            <wp:cNvGraphicFramePr/>
            <a:graphic>
              <a:graphicData uri="http://schemas.microsoft.com/office/word/2010/wordprocessingGroup">
                <wpg:wgp>
                  <wpg:cNvGrpSpPr/>
                  <wpg:grpSpPr>
                    <a:xfrm>
                      <a:off x="0" y="0"/>
                      <a:ext cx="2576371" cy="10084"/>
                      <a:chOff x="0" y="0"/>
                      <a:chExt cx="2576371" cy="10084"/>
                    </a:xfrm>
                  </wpg:grpSpPr>
                  <wps:wsp>
                    <wps:cNvPr id="172455" name="Shape 172455"/>
                    <wps:cNvSpPr/>
                    <wps:spPr>
                      <a:xfrm>
                        <a:off x="0" y="0"/>
                        <a:ext cx="2576371" cy="10084"/>
                      </a:xfrm>
                      <a:custGeom>
                        <a:pathLst>
                          <a:path w="2576371" h="10084">
                            <a:moveTo>
                              <a:pt x="0" y="0"/>
                            </a:moveTo>
                            <a:lnTo>
                              <a:pt x="2576371" y="0"/>
                            </a:lnTo>
                            <a:lnTo>
                              <a:pt x="2576371" y="10084"/>
                            </a:lnTo>
                            <a:lnTo>
                              <a:pt x="0" y="10084"/>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r>
        <w:rPr>
          <w:rFonts w:cs="Calibri" w:hAnsi="Calibri" w:eastAsia="Calibri" w:ascii="Calibri"/>
          <w:sz w:val="18"/>
        </w:rPr>
        <w:t xml:space="preserve">$50,000.00</w:t>
      </w:r>
    </w:p>
    <w:p>
      <w:pPr>
        <w:spacing w:before="0" w:after="0" w:line="259" w:lineRule="auto"/>
        <w:ind w:left="10" w:right="250"/>
        <w:jc w:val="right"/>
      </w:pPr>
      <w:r>
        <w:rPr>
          <w:rFonts w:cs="Calibri" w:hAnsi="Calibri" w:eastAsia="Calibri" w:ascii="Calibri"/>
          <w:b w:val="1"/>
          <w:sz w:val="18"/>
        </w:rPr>
        <w:t xml:space="preserve">$70,000.00</w:t>
      </w:r>
    </w:p>
    <w:tbl>
      <w:tblPr>
        <w:tblStyle w:val="TableGrid"/>
        <w:tblW w:w="12283" w:type="dxa"/>
        <w:tblInd w:w="-28" w:type="dxa"/>
        <w:tblCellMar>
          <w:top w:w="0" w:type="dxa"/>
          <w:left w:w="0" w:type="dxa"/>
          <w:bottom w:w="0" w:type="dxa"/>
          <w:right w:w="115" w:type="dxa"/>
        </w:tblCellMar>
      </w:tblPr>
      <w:tblGrid>
        <w:gridCol w:w="909"/>
        <w:gridCol w:w="11374"/>
      </w:tblGrid>
      <w:tr>
        <w:trPr>
          <w:trHeight w:val="464" w:hRule="atLeast"/>
        </w:trPr>
        <w:tc>
          <w:tcPr>
            <w:tcW w:w="909" w:type="dxa"/>
            <w:tcBorders>
              <w:top w:val="nil"/>
              <w:left w:val="nil"/>
              <w:bottom w:val="nil"/>
              <w:right w:val="nil"/>
            </w:tcBorders>
            <w:shd w:val="clear" w:fill="dce6f1"/>
            <w:vAlign w:val="center"/>
          </w:tcPr>
          <w:p>
            <w:pPr>
              <w:spacing w:before="0" w:after="0" w:line="259" w:lineRule="auto"/>
              <w:ind w:left="101" w:right="0" w:firstLine="0"/>
              <w:jc w:val="center"/>
            </w:pPr>
            <w:r>
              <w:rPr>
                <w:rFonts w:cs="Calibri" w:hAnsi="Calibri" w:eastAsia="Calibri" w:ascii="Calibri"/>
                <w:b w:val="1"/>
                <w:sz w:val="18"/>
              </w:rPr>
              <w:t xml:space="preserve">2.6.3.</w:t>
            </w:r>
          </w:p>
        </w:tc>
        <w:tc>
          <w:tcPr>
            <w:tcW w:w="11374" w:type="dxa"/>
            <w:tcBorders>
              <w:top w:val="nil"/>
              <w:left w:val="nil"/>
              <w:bottom w:val="nil"/>
              <w:right w:val="nil"/>
            </w:tcBorders>
            <w:shd w:val="clear" w:fill="dce6f1"/>
            <w:vAlign w:val="top"/>
          </w:tcPr>
          <w:p>
            <w:pPr>
              <w:spacing w:before="0" w:after="0" w:line="259" w:lineRule="auto"/>
              <w:ind w:left="1" w:right="0" w:hanging="1"/>
              <w:jc w:val="left"/>
            </w:pPr>
            <w:r>
              <w:rPr>
                <w:rFonts w:cs="Calibri" w:hAnsi="Calibri" w:eastAsia="Calibri" w:ascii="Calibri"/>
                <w:b w:val="1"/>
                <w:sz w:val="18"/>
              </w:rPr>
              <w:t xml:space="preserve">//Facilitate/a/study/to/map/out/the/two/EMBs/experiences/and/lessons/learnt/in/relation/to/election/observer/engagement/and/convene/experience/ sharing/workshops/involving/stakeholder/including/political/parties/and/CSOs.//</w:t>
            </w:r>
          </w:p>
        </w:tc>
      </w:tr>
    </w:tbl>
    <w:p>
      <w:pPr>
        <w:spacing w:before="0" w:after="0" w:line="259" w:lineRule="auto"/>
        <w:ind w:left="-1" w:right="0"/>
        <w:jc w:val="left"/>
      </w:pPr>
      <w:r>
        <w:rPr>
          <w:rFonts w:cs="Calibri" w:hAnsi="Calibri" w:eastAsia="Calibri" w:ascii="Calibri"/>
          <w:b w:val="1"/>
          <w:sz w:val="18"/>
        </w:rPr>
        <w:t xml:space="preserve">/No/activities/this/period/</w:t>
      </w:r>
    </w:p>
    <w:p>
      <w:pPr>
        <w:spacing w:before="0" w:after="0" w:line="259" w:lineRule="auto"/>
        <w:ind w:left="10" w:right="250"/>
        <w:jc w:val="right"/>
      </w:pPr>
      <w:r>
        <w:rPr>
          <w:rFonts w:cs="Calibri" w:hAnsi="Calibri" w:eastAsia="Calibri" w:ascii="Calibri"/>
          <w:b w:val="1"/>
          <w:sz w:val="18"/>
        </w:rPr>
        <w:t xml:space="preserve">$0.00</w:t>
      </w:r>
    </w:p>
    <w:tbl>
      <w:tblPr>
        <w:tblStyle w:val="TableGrid"/>
        <w:tblW w:w="12279" w:type="dxa"/>
        <w:tblInd w:w="-28" w:type="dxa"/>
        <w:tblCellMar>
          <w:top w:w="0" w:type="dxa"/>
          <w:left w:w="115" w:type="dxa"/>
          <w:bottom w:w="0" w:type="dxa"/>
          <w:right w:w="29" w:type="dxa"/>
        </w:tblCellMar>
      </w:tblPr>
      <w:tblGrid>
        <w:gridCol w:w="11203"/>
        <w:gridCol w:w="1076"/>
      </w:tblGrid>
      <w:tr>
        <w:trPr>
          <w:trHeight w:val="246" w:hRule="atLeast"/>
        </w:trPr>
        <w:tc>
          <w:tcPr>
            <w:tcW w:w="11203" w:type="dxa"/>
            <w:tcBorders>
              <w:top w:val="single" w:sz="13" w:color="000000"/>
              <w:left w:val="single" w:sz="13" w:color="000000"/>
              <w:bottom w:val="single" w:sz="13" w:color="000000"/>
              <w:right w:val="single" w:sz="13" w:color="000000"/>
            </w:tcBorders>
            <w:shd w:val="clear" w:fill="f3dcda"/>
            <w:vAlign w:val="top"/>
          </w:tcPr>
          <w:p>
            <w:pPr>
              <w:spacing w:before="0" w:after="0" w:line="259" w:lineRule="auto"/>
              <w:ind w:left="0" w:right="56" w:firstLine="0"/>
              <w:jc w:val="right"/>
            </w:pPr>
            <w:r>
              <w:rPr>
                <w:rFonts w:cs="Calibri" w:hAnsi="Calibri" w:eastAsia="Calibri" w:ascii="Calibri"/>
                <w:b w:val="1"/>
                <w:sz w:val="18"/>
              </w:rPr>
              <w:t xml:space="preserve">TOTAL/ESTIMATED/COMPONENT/OUTPUT/COSTS/2013;2014:</w:t>
            </w:r>
          </w:p>
        </w:tc>
        <w:tc>
          <w:tcPr>
            <w:tcW w:w="1076" w:type="dxa"/>
            <w:tcBorders>
              <w:top w:val="single" w:sz="13" w:color="000000"/>
              <w:left w:val="single" w:sz="13" w:color="000000"/>
              <w:bottom w:val="single" w:sz="13" w:color="000000"/>
              <w:right w:val="single" w:sz="13" w:color="000000"/>
            </w:tcBorders>
            <w:shd w:val="clear" w:fill="f3dcda"/>
            <w:vAlign w:val="top"/>
          </w:tcPr>
          <w:p>
            <w:pPr>
              <w:spacing w:before="0" w:after="0" w:line="259" w:lineRule="auto"/>
              <w:ind w:left="0" w:right="0" w:firstLine="0"/>
              <w:jc w:val="right"/>
            </w:pPr>
            <w:r>
              <w:rPr>
                <w:rFonts w:cs="Calibri" w:hAnsi="Calibri" w:eastAsia="Calibri" w:ascii="Calibri"/>
                <w:b w:val="1"/>
                <w:sz w:val="18"/>
              </w:rPr>
              <w:t xml:space="preserve">$89,786.00</w:t>
            </w:r>
          </w:p>
        </w:tc>
      </w:tr>
    </w:tbl>
    <w:p>
      <w:pPr>
        <w:tabs>
          <w:tab w:val="center" w:pos="6171"/>
          <w:tab w:val="center" w:pos="12054"/>
        </w:tabs>
        <w:spacing w:before="0" w:after="223" w:line="259" w:lineRule="auto"/>
        <w:ind w:left="0" w:right="0" w:firstLine="0"/>
        <w:jc w:val="left"/>
      </w:pPr>
      <w:r>
        <w:rPr>
          <w:rFonts w:cs="Calibri" w:hAnsi="Calibri" w:eastAsia="Calibri" w:ascii="Calibri"/>
          <w:sz w:val="22"/>
        </w:rPr>
        <w:t xml:space="preserve">	</w:t>
      </w:r>
      <w:r>
        <w:rPr>
          <w:rFonts w:cs="Calibri" w:hAnsi="Calibri" w:eastAsia="Calibri" w:ascii="Calibri"/>
          <w:sz w:val="18"/>
        </w:rPr>
        <w:t xml:space="preserve">1*OF*1	</w:t>
      </w:r>
      <w:r>
        <w:rPr>
          <w:rFonts w:cs="Calibri" w:hAnsi="Calibri" w:eastAsia="Calibri" w:ascii="Calibri"/>
          <w:sz w:val="18"/>
        </w:rPr>
        <w:t xml:space="preserve">7/1/13</w:t>
      </w:r>
    </w:p>
    <w:p>
      <w:pPr>
        <w:sectPr>
          <w:headerReference w:type="even" r:id="rId53"/>
          <w:headerReference w:type="default" r:id="rId51"/>
          <w:headerReference w:type="first" r:id="rId49"/>
          <w:footerReference w:type="even" r:id="rId54"/>
          <w:footerReference w:type="default" r:id="rId52"/>
          <w:footerReference w:type="first" r:id="rId50"/>
          <w:pgSz w:w="15840" w:h="12240" w:orient="landscape"/>
          <w:pgMar w:left="1743" w:top="1011" w:right="1611" w:bottom="1036"/>
          <w:cols/>
        </w:sectPr>
      </w:pPr>
    </w:p>
    <w:p>
      <w:pPr>
        <w:shd w:val="clear" w:color="auto" w:fill="eaf1dd"/>
        <w:spacing w:before="0" w:after="101" w:line="259" w:lineRule="auto"/>
        <w:ind w:left="-3" w:right="0"/>
        <w:jc w:val="left"/>
      </w:pPr>
      <w:r>
        <w:rPr>
          <w:rFonts w:cs="Calibri" w:hAnsi="Calibri" w:eastAsia="Calibri" w:ascii="Calibri"/>
          <w:b w:val="1"/>
          <w:sz w:val="20"/>
        </w:rPr>
        <w:t xml:space="preserve">COMPONENT*3:**SUPPORT*INCLUSIVE*PARTICIPATION*IN*POLITICAL*AND*ELECTORAL*PROCESSES</w:t>
      </w:r>
    </w:p>
    <w:p>
      <w:pPr>
        <w:shd w:val="clear" w:color="auto" w:fill="dce6f1"/>
        <w:tabs>
          <w:tab w:val="center" w:pos="4496"/>
        </w:tabs>
        <w:spacing w:before="0" w:after="28" w:line="259" w:lineRule="auto"/>
        <w:ind w:left="-13" w:right="0" w:firstLine="0"/>
        <w:jc w:val="left"/>
      </w:pPr>
      <w:r>
        <w:rPr>
          <w:rFonts w:cs="Calibri" w:hAnsi="Calibri" w:eastAsia="Calibri" w:ascii="Calibri"/>
          <w:sz w:val="20"/>
        </w:rPr>
        <w:t xml:space="preserve">*A.**Development*of*materials*via*meetings*with*</w:t>
      </w:r>
      <w:r>
        <w:rPr>
          <w:rFonts w:cs="Calibri" w:hAnsi="Calibri" w:eastAsia="Calibri" w:ascii="Calibri"/>
          <w:b w:val="1"/>
          <w:sz w:val="20"/>
        </w:rPr>
        <w:t xml:space="preserve">3.1.1.	</w:t>
      </w:r>
      <w:r>
        <w:rPr>
          <w:rFonts w:cs="Calibri" w:hAnsi="Calibri" w:eastAsia="Calibri" w:ascii="Calibri"/>
          <w:b w:val="1"/>
          <w:sz w:val="20"/>
        </w:rPr>
        <w:t xml:space="preserve">Supp rt*skills* nd*capacity*development*for*women,*youth*and*PWDs*as*candidates*</w:t>
      </w:r>
    </w:p>
    <w:p>
      <w:pPr>
        <w:spacing w:before="0" w:after="5" w:line="256" w:lineRule="auto"/>
        <w:ind w:left="-4" w:right="0" w:hanging="9"/>
        <w:jc w:val="left"/>
      </w:pPr>
      <w:r>
        <w:rPr>
          <w:rFonts w:cs="Calibri" w:hAnsi="Calibri" w:eastAsia="Calibri" w:ascii="Calibri"/>
          <w:sz w:val="20"/>
        </w:rPr>
        <w:t xml:space="preserve">stakeholders*to*create*a*series*of*training*workshops*to*	Grant*to*UN*Women be*conducted*around*the*country*in*2014*3*2015*focusing* on*women,*youth*and*persons*with*disabilities*as*</w:t>
      </w:r>
    </w:p>
    <w:p>
      <w:pPr>
        <w:spacing w:before="0" w:after="0" w:line="259" w:lineRule="auto"/>
        <w:ind w:left="7847" w:right="-36" w:firstLine="0"/>
        <w:jc w:val="left"/>
      </w:pPr>
      <w:r>
        <w:rPr>
          <w:rFonts w:cs="Calibri" w:hAnsi="Calibri" w:eastAsia="Calibri" w:ascii="Calibri"/>
          <w:sz w:val="22"/>
        </w:rPr>
        <w:drawing>
          <wp:inline distT="0" distB="0" distL="0" distR="0">
            <wp:extent cx="2731901" cy="32881"/>
            <wp:docPr id="143941" name="Group 143941"/>
            <wp:cNvGraphicFramePr/>
            <a:graphic>
              <a:graphicData uri="http://schemas.microsoft.com/office/word/2010/wordprocessingGroup">
                <wpg:wgp>
                  <wpg:cNvGrpSpPr/>
                  <wpg:grpSpPr>
                    <a:xfrm>
                      <a:off x="0" y="0"/>
                      <a:ext cx="2731901" cy="32881"/>
                      <a:chOff x="0" y="0"/>
                      <a:chExt cx="2731901" cy="32881"/>
                    </a:xfrm>
                  </wpg:grpSpPr>
                  <wps:wsp>
                    <wps:cNvPr id="172456" name="Shape 172456"/>
                    <wps:cNvSpPr/>
                    <wps:spPr>
                      <a:xfrm>
                        <a:off x="0" y="0"/>
                        <a:ext cx="2731901" cy="10960"/>
                      </a:xfrm>
                      <a:custGeom>
                        <a:pathLst>
                          <a:path w="2731901" h="10960">
                            <a:moveTo>
                              <a:pt x="0" y="0"/>
                            </a:moveTo>
                            <a:lnTo>
                              <a:pt x="2731901" y="0"/>
                            </a:lnTo>
                            <a:lnTo>
                              <a:pt x="2731901"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57" name="Shape 172457"/>
                    <wps:cNvSpPr/>
                    <wps:spPr>
                      <a:xfrm>
                        <a:off x="0" y="21921"/>
                        <a:ext cx="2731901" cy="10960"/>
                      </a:xfrm>
                      <a:custGeom>
                        <a:pathLst>
                          <a:path w="2731901" h="10960">
                            <a:moveTo>
                              <a:pt x="0" y="0"/>
                            </a:moveTo>
                            <a:lnTo>
                              <a:pt x="2731901" y="0"/>
                            </a:lnTo>
                            <a:lnTo>
                              <a:pt x="2731901"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tabs>
          <w:tab w:val="center" w:pos="10343"/>
          <w:tab w:val="right" w:pos="12113"/>
        </w:tabs>
        <w:spacing w:before="0" w:after="0" w:line="259" w:lineRule="auto"/>
        <w:ind w:left="-15" w:right="-15" w:firstLine="0"/>
        <w:jc w:val="left"/>
      </w:pPr>
      <w:r>
        <w:rPr>
          <w:rFonts w:cs="Calibri" w:hAnsi="Calibri" w:eastAsia="Calibri" w:ascii="Calibri"/>
          <w:sz w:val="20"/>
        </w:rPr>
        <w:t xml:space="preserve">candidates.*	</w:t>
      </w:r>
      <w:r>
        <w:rPr>
          <w:rFonts w:cs="Calibri" w:hAnsi="Calibri" w:eastAsia="Calibri" w:ascii="Calibri"/>
          <w:b w:val="1"/>
          <w:sz w:val="20"/>
        </w:rPr>
        <w:t xml:space="preserve">SUBTOTAL:	</w:t>
      </w:r>
      <w:r>
        <w:rPr>
          <w:rFonts w:cs="Calibri" w:hAnsi="Calibri" w:eastAsia="Calibri" w:ascii="Calibri"/>
          <w:b w:val="1"/>
          <w:sz w:val="20"/>
        </w:rPr>
        <w:t xml:space="preserve">$70,000.00</w:t>
      </w:r>
    </w:p>
    <w:tbl>
      <w:tblPr>
        <w:tblStyle w:val="TableGrid"/>
        <w:tblW w:w="12182" w:type="dxa"/>
        <w:tblInd w:w="-33" w:type="dxa"/>
        <w:tblCellMar>
          <w:top w:w="0" w:type="dxa"/>
          <w:left w:w="256" w:type="dxa"/>
          <w:bottom w:w="0" w:type="dxa"/>
          <w:right w:w="115" w:type="dxa"/>
        </w:tblCellMar>
      </w:tblPr>
      <w:tblGrid>
        <w:gridCol w:w="12182"/>
      </w:tblGrid>
      <w:tr>
        <w:trPr>
          <w:trHeight w:val="755" w:hRule="atLeast"/>
        </w:trPr>
        <w:tc>
          <w:tcPr>
            <w:tcW w:w="12182" w:type="dxa"/>
            <w:tcBorders>
              <w:top w:val="nil"/>
              <w:left w:val="nil"/>
              <w:bottom w:val="nil"/>
              <w:right w:val="nil"/>
            </w:tcBorders>
            <w:shd w:val="clear" w:fill="dce6f1"/>
            <w:vAlign w:val="top"/>
          </w:tcPr>
          <w:p>
            <w:pPr>
              <w:spacing w:before="0" w:after="0" w:line="259" w:lineRule="auto"/>
              <w:ind w:left="732" w:right="0" w:firstLine="0"/>
              <w:jc w:val="left"/>
            </w:pPr>
            <w:r>
              <w:rPr>
                <w:rFonts w:cs="Calibri" w:hAnsi="Calibri" w:eastAsia="Calibri" w:ascii="Calibri"/>
                <w:b w:val="1"/>
                <w:sz w:val="20"/>
              </w:rPr>
              <w:t xml:space="preserve">Promote*public*awareness*on*gender*equality*and*women’s*empowerment*through*community*dialogue*(at*grassJroot*levels)*and*</w:t>
            </w:r>
          </w:p>
          <w:p>
            <w:pPr>
              <w:spacing w:before="0" w:after="0" w:line="259" w:lineRule="auto"/>
              <w:ind w:left="730" w:right="0" w:hanging="730"/>
              <w:jc w:val="left"/>
            </w:pPr>
            <w:r>
              <w:rPr>
                <w:rFonts w:cs="Calibri" w:hAnsi="Calibri" w:eastAsia="Calibri" w:ascii="Calibri"/>
                <w:b w:val="1"/>
                <w:sz w:val="20"/>
              </w:rPr>
              <w:t xml:space="preserve">3.1.2.	</w:t>
            </w:r>
            <w:r>
              <w:rPr>
                <w:rFonts w:cs="Calibri" w:hAnsi="Calibri" w:eastAsia="Calibri" w:ascii="Calibri"/>
                <w:b w:val="1"/>
                <w:sz w:val="20"/>
              </w:rPr>
              <w:t xml:space="preserve">community*media*outputs*as*well*as*CSOJ*based*campaigns*and*outdoor*activities*(cinema,*drama,*dance*and*music)*as*part*of*voter* and.*This*activity*will*be*facilitated*by*UNESCO,*UNDP*and*UN*Women.*</w:t>
            </w:r>
          </w:p>
        </w:tc>
      </w:tr>
    </w:tbl>
    <w:p>
      <w:pPr>
        <w:tabs>
          <w:tab w:val="center" w:pos="5663"/>
        </w:tabs>
        <w:spacing w:before="0" w:after="5" w:line="256" w:lineRule="auto"/>
        <w:ind w:left="-13" w:right="0" w:firstLine="0"/>
        <w:jc w:val="left"/>
      </w:pPr>
      <w:r>
        <w:rPr>
          <w:rFonts w:cs="Calibri" w:hAnsi="Calibri" w:eastAsia="Calibri" w:ascii="Calibri"/>
          <w:sz w:val="20"/>
        </w:rPr>
        <w:t xml:space="preserve">*A.**Development*of*materials*and*detailed*strategy*	Grant*to*UN*Women</w:t>
      </w:r>
    </w:p>
    <w:p>
      <w:pPr>
        <w:spacing w:before="0" w:after="5" w:line="256" w:lineRule="auto"/>
        <w:ind w:left="-4" w:right="0" w:hanging="9"/>
        <w:jc w:val="left"/>
      </w:pPr>
      <w:r>
        <w:rPr>
          <w:rFonts w:cs="Calibri" w:hAnsi="Calibri" w:eastAsia="Calibri" w:ascii="Calibri"/>
          <w:sz w:val="20"/>
        </w:rPr>
        <w:t xml:space="preserve">working*with*stakeholder*groups*to*raise*awareness*via* community*dialog*re:**gender*equity*and*women's*</w:t>
      </w:r>
    </w:p>
    <w:p>
      <w:pPr>
        <w:spacing w:before="0" w:after="0" w:line="259" w:lineRule="auto"/>
        <w:ind w:left="7847" w:right="-36" w:firstLine="0"/>
        <w:jc w:val="left"/>
      </w:pPr>
      <w:r>
        <w:rPr>
          <w:rFonts w:cs="Calibri" w:hAnsi="Calibri" w:eastAsia="Calibri" w:ascii="Calibri"/>
          <w:sz w:val="22"/>
        </w:rPr>
        <w:drawing>
          <wp:inline distT="0" distB="0" distL="0" distR="0">
            <wp:extent cx="2731901" cy="32882"/>
            <wp:docPr id="143942" name="Group 143942"/>
            <wp:cNvGraphicFramePr/>
            <a:graphic>
              <a:graphicData uri="http://schemas.microsoft.com/office/word/2010/wordprocessingGroup">
                <wpg:wgp>
                  <wpg:cNvGrpSpPr/>
                  <wpg:grpSpPr>
                    <a:xfrm>
                      <a:off x="0" y="0"/>
                      <a:ext cx="2731901" cy="32882"/>
                      <a:chOff x="0" y="0"/>
                      <a:chExt cx="2731901" cy="32882"/>
                    </a:xfrm>
                  </wpg:grpSpPr>
                  <wps:wsp>
                    <wps:cNvPr id="172458" name="Shape 172458"/>
                    <wps:cNvSpPr/>
                    <wps:spPr>
                      <a:xfrm>
                        <a:off x="0" y="0"/>
                        <a:ext cx="2731901" cy="10961"/>
                      </a:xfrm>
                      <a:custGeom>
                        <a:pathLst>
                          <a:path w="2731901" h="10961">
                            <a:moveTo>
                              <a:pt x="0" y="0"/>
                            </a:moveTo>
                            <a:lnTo>
                              <a:pt x="2731901" y="0"/>
                            </a:lnTo>
                            <a:lnTo>
                              <a:pt x="2731901" y="10961"/>
                            </a:lnTo>
                            <a:lnTo>
                              <a:pt x="0" y="10961"/>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59" name="Shape 172459"/>
                    <wps:cNvSpPr/>
                    <wps:spPr>
                      <a:xfrm>
                        <a:off x="0" y="21922"/>
                        <a:ext cx="2731901" cy="10960"/>
                      </a:xfrm>
                      <a:custGeom>
                        <a:pathLst>
                          <a:path w="2731901" h="10960">
                            <a:moveTo>
                              <a:pt x="0" y="0"/>
                            </a:moveTo>
                            <a:lnTo>
                              <a:pt x="2731901" y="0"/>
                            </a:lnTo>
                            <a:lnTo>
                              <a:pt x="2731901"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tabs>
          <w:tab w:val="center" w:pos="10343"/>
          <w:tab w:val="right" w:pos="12113"/>
        </w:tabs>
        <w:spacing w:before="0" w:after="0" w:line="259" w:lineRule="auto"/>
        <w:ind w:left="-15" w:right="-15" w:firstLine="0"/>
        <w:jc w:val="left"/>
      </w:pPr>
      <w:r>
        <w:rPr>
          <w:rFonts w:cs="Calibri" w:hAnsi="Calibri" w:eastAsia="Calibri" w:ascii="Calibri"/>
          <w:sz w:val="20"/>
        </w:rPr>
        <w:t xml:space="preserve">empowerment.*	</w:t>
      </w:r>
      <w:r>
        <w:rPr>
          <w:rFonts w:cs="Calibri" w:hAnsi="Calibri" w:eastAsia="Calibri" w:ascii="Calibri"/>
          <w:b w:val="1"/>
          <w:sz w:val="20"/>
        </w:rPr>
        <w:t xml:space="preserve">SUBTOTAL:	</w:t>
      </w:r>
      <w:r>
        <w:rPr>
          <w:rFonts w:cs="Calibri" w:hAnsi="Calibri" w:eastAsia="Calibri" w:ascii="Calibri"/>
          <w:b w:val="1"/>
          <w:sz w:val="20"/>
        </w:rPr>
        <w:t xml:space="preserve">$70,000.00</w:t>
      </w:r>
    </w:p>
    <w:tbl>
      <w:tblPr>
        <w:tblStyle w:val="TableGrid"/>
        <w:tblW w:w="12182" w:type="dxa"/>
        <w:tblInd w:w="-33" w:type="dxa"/>
        <w:tblCellMar>
          <w:top w:w="1" w:type="dxa"/>
          <w:left w:w="0" w:type="dxa"/>
          <w:bottom w:w="0" w:type="dxa"/>
          <w:right w:w="115" w:type="dxa"/>
        </w:tblCellMar>
      </w:tblPr>
      <w:tblGrid>
        <w:gridCol w:w="988"/>
        <w:gridCol w:w="11194"/>
      </w:tblGrid>
      <w:tr>
        <w:trPr>
          <w:trHeight w:val="522" w:hRule="atLeast"/>
        </w:trPr>
        <w:tc>
          <w:tcPr>
            <w:tcW w:w="988" w:type="dxa"/>
            <w:tcBorders>
              <w:top w:val="nil"/>
              <w:left w:val="nil"/>
              <w:bottom w:val="nil"/>
              <w:right w:val="nil"/>
            </w:tcBorders>
            <w:shd w:val="clear" w:fill="dce6f1"/>
            <w:vAlign w:val="center"/>
          </w:tcPr>
          <w:p>
            <w:pPr>
              <w:spacing w:before="0" w:after="0" w:line="259" w:lineRule="auto"/>
              <w:ind w:left="100" w:right="0" w:firstLine="0"/>
              <w:jc w:val="center"/>
            </w:pPr>
            <w:r>
              <w:rPr>
                <w:rFonts w:cs="Calibri" w:hAnsi="Calibri" w:eastAsia="Calibri" w:ascii="Calibri"/>
                <w:b w:val="1"/>
                <w:sz w:val="20"/>
              </w:rPr>
              <w:t xml:space="preserve">3.1.3.</w:t>
            </w:r>
          </w:p>
        </w:tc>
        <w:tc>
          <w:tcPr>
            <w:tcW w:w="11194" w:type="dxa"/>
            <w:tcBorders>
              <w:top w:val="nil"/>
              <w:left w:val="nil"/>
              <w:bottom w:val="nil"/>
              <w:right w:val="nil"/>
            </w:tcBorders>
            <w:shd w:val="clear" w:fill="dce6f1"/>
            <w:vAlign w:val="top"/>
          </w:tcPr>
          <w:p>
            <w:pPr>
              <w:spacing w:before="0" w:after="0" w:line="259" w:lineRule="auto"/>
              <w:ind w:left="2" w:right="0" w:hanging="2"/>
              <w:jc w:val="left"/>
            </w:pPr>
            <w:r>
              <w:rPr>
                <w:rFonts w:cs="Calibri" w:hAnsi="Calibri" w:eastAsia="Calibri" w:ascii="Calibri"/>
                <w:b w:val="1"/>
                <w:sz w:val="20"/>
              </w:rPr>
              <w:t xml:space="preserve">*Undertake*a*study*to*assess*the*impact*and*effectiveness*of*the*constitutional*framework*including*the*electoral*system*on*fostering* inclusive*electoral*and*political*participation*in*order*to*draw*lessons*and*engender*reform.**</w:t>
            </w:r>
          </w:p>
        </w:tc>
      </w:tr>
    </w:tbl>
    <w:p>
      <w:pPr>
        <w:spacing w:before="0" w:after="5" w:line="256" w:lineRule="auto"/>
        <w:ind w:left="-4" w:right="0" w:hanging="9"/>
        <w:jc w:val="left"/>
      </w:pPr>
      <w:r>
        <w:rPr>
          <w:rFonts w:cs="Calibri" w:hAnsi="Calibri" w:eastAsia="Calibri" w:ascii="Calibri"/>
          <w:sz w:val="20"/>
        </w:rPr>
        <w:t xml:space="preserve">No*activities*this*period.</w:t>
      </w:r>
    </w:p>
    <w:p>
      <w:pPr>
        <w:tabs>
          <w:tab w:val="center" w:pos="10343"/>
          <w:tab w:val="right" w:pos="12113"/>
        </w:tabs>
        <w:spacing w:before="0" w:after="0" w:line="259" w:lineRule="auto"/>
        <w:ind w:left="0" w:right="-12" w:firstLine="0"/>
        <w:jc w:val="left"/>
      </w:pP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$0.00</w:t>
      </w:r>
    </w:p>
    <w:tbl>
      <w:tblPr>
        <w:tblStyle w:val="TableGrid"/>
        <w:tblW w:w="12182" w:type="dxa"/>
        <w:tblInd w:w="-33" w:type="dxa"/>
        <w:tblCellMar>
          <w:top w:w="0" w:type="dxa"/>
          <w:left w:w="0" w:type="dxa"/>
          <w:bottom w:w="0" w:type="dxa"/>
          <w:right w:w="115" w:type="dxa"/>
        </w:tblCellMar>
      </w:tblPr>
      <w:tblGrid>
        <w:gridCol w:w="1045"/>
        <w:gridCol w:w="11137"/>
      </w:tblGrid>
      <w:tr>
        <w:trPr>
          <w:trHeight w:val="255" w:hRule="atLeast"/>
        </w:trPr>
        <w:tc>
          <w:tcPr>
            <w:tcW w:w="1045" w:type="dxa"/>
            <w:tcBorders>
              <w:top w:val="nil"/>
              <w:left w:val="nil"/>
              <w:bottom w:val="nil"/>
              <w:right w:val="nil"/>
            </w:tcBorders>
            <w:shd w:val="clear" w:fill="dce6f1"/>
            <w:vAlign w:val="top"/>
          </w:tcPr>
          <w:p>
            <w:pPr>
              <w:spacing w:before="0" w:after="0" w:line="259" w:lineRule="auto"/>
              <w:ind w:left="43" w:right="0" w:firstLine="0"/>
              <w:jc w:val="center"/>
            </w:pPr>
            <w:r>
              <w:rPr>
                <w:rFonts w:cs="Calibri" w:hAnsi="Calibri" w:eastAsia="Calibri" w:ascii="Calibri"/>
                <w:b w:val="1"/>
                <w:sz w:val="20"/>
              </w:rPr>
              <w:t xml:space="preserve">3.1.4.</w:t>
            </w:r>
          </w:p>
        </w:tc>
        <w:tc>
          <w:tcPr>
            <w:tcW w:w="11137" w:type="dxa"/>
            <w:tcBorders>
              <w:top w:val="nil"/>
              <w:left w:val="nil"/>
              <w:bottom w:val="nil"/>
              <w:right w:val="nil"/>
            </w:tcBorders>
            <w:shd w:val="clear" w:fill="dce6f1"/>
            <w:vAlign w:val="top"/>
          </w:tcPr>
          <w:p>
            <w:pPr>
              <w:spacing w:before="0" w:after="0" w:line="259" w:lineRule="auto"/>
              <w:ind w:left="0" w:right="0" w:firstLine="0"/>
              <w:jc w:val="left"/>
            </w:pPr>
            <w:r>
              <w:rPr>
                <w:rFonts w:cs="Calibri" w:hAnsi="Calibri" w:eastAsia="Calibri" w:ascii="Calibri"/>
                <w:b w:val="1"/>
                <w:sz w:val="18"/>
              </w:rPr>
              <w:t xml:space="preserve">LongJTerm*Technical*Assistance*(LTTA)</w:t>
            </w:r>
          </w:p>
        </w:tc>
      </w:tr>
    </w:tbl>
    <w:p>
      <w:pPr>
        <w:tabs>
          <w:tab w:val="center" w:pos="6298"/>
          <w:tab w:val="center" w:pos="8303"/>
          <w:tab w:val="center" w:pos="9256"/>
          <w:tab w:val="center" w:pos="10336"/>
          <w:tab w:val="right" w:pos="12113"/>
        </w:tabs>
        <w:spacing w:before="0" w:after="5" w:line="256" w:lineRule="auto"/>
        <w:ind w:left="-13" w:right="0" w:firstLine="0"/>
        <w:jc w:val="left"/>
      </w:pPr>
      <w:r>
        <w:rPr>
          <w:rFonts w:cs="Calibri" w:hAnsi="Calibri" w:eastAsia="Calibri" w:ascii="Calibri"/>
          <w:sz w:val="20"/>
        </w:rPr>
        <w:t xml:space="preserve">A.**Inclusiveness/Dialogue*Specialist*(P4)	(100%*of*9*months)	Months	</w:t>
      </w:r>
      <w:r>
        <w:rPr>
          <w:rFonts w:cs="Calibri" w:hAnsi="Calibri" w:eastAsia="Calibri" w:ascii="Calibri"/>
          <w:sz w:val="20"/>
        </w:rPr>
        <w:t xml:space="preserve">9	$18,666.47	$167,998.23</w:t>
      </w:r>
    </w:p>
    <w:p>
      <w:pPr>
        <w:spacing w:before="0" w:after="3" w:line="259" w:lineRule="auto"/>
        <w:ind w:left="232" w:right="457"/>
        <w:jc w:val="center"/>
      </w:pPr>
      <w:r>
        <w:rPr>
          <w:rFonts w:cs="Calibri" w:hAnsi="Calibri" w:eastAsia="Calibri" w:ascii="Calibri"/>
          <w:sz w:val="20"/>
        </w:rPr>
        <w:t xml:space="preserve">*Provided*under*the*grant*to*</w:t>
      </w:r>
    </w:p>
    <w:p>
      <w:pPr>
        <w:spacing w:before="0" w:after="5" w:line="256" w:lineRule="auto"/>
        <w:ind w:left="4779" w:right="0" w:hanging="9"/>
        <w:jc w:val="left"/>
      </w:pPr>
      <w:r>
        <w:rPr>
          <w:rFonts w:cs="Calibri" w:hAnsi="Calibri" w:eastAsia="Calibri" w:ascii="Calibri"/>
          <w:sz w:val="20"/>
        </w:rPr>
        <w:t xml:space="preserve">UNWomen*</w:t>
      </w:r>
    </w:p>
    <w:p>
      <w:pPr>
        <w:spacing w:before="0" w:after="0" w:line="259" w:lineRule="auto"/>
        <w:ind w:left="7847" w:right="-36" w:firstLine="0"/>
        <w:jc w:val="left"/>
      </w:pPr>
      <w:r>
        <w:rPr>
          <w:rFonts w:cs="Calibri" w:hAnsi="Calibri" w:eastAsia="Calibri" w:ascii="Calibri"/>
          <w:sz w:val="22"/>
        </w:rPr>
        <w:drawing>
          <wp:inline distT="0" distB="0" distL="0" distR="0">
            <wp:extent cx="2731901" cy="32881"/>
            <wp:docPr id="143943" name="Group 143943"/>
            <wp:cNvGraphicFramePr/>
            <a:graphic>
              <a:graphicData uri="http://schemas.microsoft.com/office/word/2010/wordprocessingGroup">
                <wpg:wgp>
                  <wpg:cNvGrpSpPr/>
                  <wpg:grpSpPr>
                    <a:xfrm>
                      <a:off x="0" y="0"/>
                      <a:ext cx="2731901" cy="32881"/>
                      <a:chOff x="0" y="0"/>
                      <a:chExt cx="2731901" cy="32881"/>
                    </a:xfrm>
                  </wpg:grpSpPr>
                  <wps:wsp>
                    <wps:cNvPr id="172460" name="Shape 172460"/>
                    <wps:cNvSpPr/>
                    <wps:spPr>
                      <a:xfrm>
                        <a:off x="0" y="0"/>
                        <a:ext cx="2731901" cy="10960"/>
                      </a:xfrm>
                      <a:custGeom>
                        <a:pathLst>
                          <a:path w="2731901" h="10960">
                            <a:moveTo>
                              <a:pt x="0" y="0"/>
                            </a:moveTo>
                            <a:lnTo>
                              <a:pt x="2731901" y="0"/>
                            </a:lnTo>
                            <a:lnTo>
                              <a:pt x="2731901"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61" name="Shape 172461"/>
                    <wps:cNvSpPr/>
                    <wps:spPr>
                      <a:xfrm>
                        <a:off x="0" y="21920"/>
                        <a:ext cx="2731901" cy="10961"/>
                      </a:xfrm>
                      <a:custGeom>
                        <a:pathLst>
                          <a:path w="2731901" h="10961">
                            <a:moveTo>
                              <a:pt x="0" y="0"/>
                            </a:moveTo>
                            <a:lnTo>
                              <a:pt x="2731901" y="0"/>
                            </a:lnTo>
                            <a:lnTo>
                              <a:pt x="2731901" y="10961"/>
                            </a:lnTo>
                            <a:lnTo>
                              <a:pt x="0" y="10961"/>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tabs>
          <w:tab w:val="center" w:pos="10343"/>
          <w:tab w:val="right" w:pos="12113"/>
        </w:tabs>
        <w:spacing w:before="0" w:after="0" w:line="259" w:lineRule="auto"/>
        <w:ind w:left="0" w:right="-12" w:firstLine="0"/>
        <w:jc w:val="left"/>
      </w:pP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$167,998.23</w:t>
      </w:r>
    </w:p>
    <w:tbl>
      <w:tblPr>
        <w:tblStyle w:val="TableGrid"/>
        <w:tblW w:w="12177" w:type="dxa"/>
        <w:tblInd w:w="-33" w:type="dxa"/>
        <w:tblCellMar>
          <w:top w:w="0" w:type="dxa"/>
          <w:left w:w="115" w:type="dxa"/>
          <w:bottom w:w="0" w:type="dxa"/>
          <w:right w:w="35" w:type="dxa"/>
        </w:tblCellMar>
      </w:tblPr>
      <w:tblGrid>
        <w:gridCol w:w="10935"/>
        <w:gridCol w:w="1243"/>
      </w:tblGrid>
      <w:tr>
        <w:trPr>
          <w:trHeight w:val="268" w:hRule="atLeast"/>
        </w:trPr>
        <w:tc>
          <w:tcPr>
            <w:tcW w:w="10935" w:type="dxa"/>
            <w:tcBorders>
              <w:top w:val="single" w:sz="14" w:color="000000"/>
              <w:left w:val="single" w:sz="14" w:color="000000"/>
              <w:bottom w:val="single" w:sz="14" w:color="000000"/>
              <w:right w:val="single" w:sz="14" w:color="000000"/>
            </w:tcBorders>
            <w:shd w:val="clear" w:fill="f3dcda"/>
            <w:vAlign w:val="top"/>
          </w:tcPr>
          <w:p>
            <w:pPr>
              <w:spacing w:before="0" w:after="0" w:line="259" w:lineRule="auto"/>
              <w:ind w:left="0" w:right="58" w:firstLine="0"/>
              <w:jc w:val="right"/>
            </w:pPr>
            <w:r>
              <w:rPr>
                <w:rFonts w:cs="Calibri" w:hAnsi="Calibri" w:eastAsia="Calibri" w:ascii="Calibri"/>
                <w:b w:val="1"/>
                <w:sz w:val="20"/>
              </w:rPr>
              <w:t xml:space="preserve">TOTAL*ESTIMATED*COMPONENT/OUTPUT*COSTS*2013J2014:</w:t>
            </w:r>
          </w:p>
        </w:tc>
        <w:tc>
          <w:tcPr>
            <w:tcW w:w="1243" w:type="dxa"/>
            <w:tcBorders>
              <w:top w:val="single" w:sz="14" w:color="000000"/>
              <w:left w:val="single" w:sz="14" w:color="000000"/>
              <w:bottom w:val="single" w:sz="14" w:color="000000"/>
              <w:right w:val="single" w:sz="14" w:color="000000"/>
            </w:tcBorders>
            <w:shd w:val="clear" w:fill="f3dcda"/>
            <w:vAlign w:val="top"/>
          </w:tcPr>
          <w:p>
            <w:pPr>
              <w:spacing w:before="0" w:after="0" w:line="259" w:lineRule="auto"/>
              <w:ind w:left="0" w:right="0" w:firstLine="0"/>
              <w:jc w:val="right"/>
            </w:pPr>
            <w:r>
              <w:rPr>
                <w:rFonts w:cs="Calibri" w:hAnsi="Calibri" w:eastAsia="Calibri" w:ascii="Calibri"/>
                <w:b w:val="1"/>
                <w:sz w:val="20"/>
              </w:rPr>
              <w:t xml:space="preserve">$307,998.23</w:t>
            </w:r>
          </w:p>
        </w:tc>
      </w:tr>
    </w:tbl>
    <w:p>
      <w:pPr>
        <w:spacing w:before="0" w:after="3" w:line="259" w:lineRule="auto"/>
        <w:ind w:left="232" w:right="0"/>
        <w:jc w:val="center"/>
      </w:pPr>
      <w:r>
        <w:rPr>
          <w:rFonts w:cs="Calibri" w:hAnsi="Calibri" w:eastAsia="Calibri" w:ascii="Calibri"/>
          <w:sz w:val="20"/>
        </w:rPr>
        <w:t xml:space="preserve">1*OF*</w:t>
      </w:r>
    </w:p>
    <w:p>
      <w:pPr>
        <w:shd w:val="clear" w:color="auto" w:fill="eaf1dd"/>
        <w:spacing w:before="0" w:after="0" w:line="259" w:lineRule="auto"/>
        <w:ind w:left="439" w:right="0" w:firstLine="0"/>
        <w:jc w:val="left"/>
      </w:pPr>
      <w:r>
        <w:rPr>
          <w:rFonts w:cs="Calibri" w:hAnsi="Calibri" w:eastAsia="Calibri" w:ascii="Calibri"/>
          <w:b w:val="1"/>
          <w:sz w:val="20"/>
        </w:rPr>
        <w:t xml:space="preserve">COMPONENT+4:++SUPPORT+NATIONAL+PEACE+INFRASTRUCTURE+TO+MITIGATE+AND+RESOLVE+ELECTIONARELATED+CONFLICTS</w:t>
      </w:r>
    </w:p>
    <w:tbl>
      <w:tblPr>
        <w:tblStyle w:val="TableGrid"/>
        <w:tblW w:w="11647" w:type="dxa"/>
        <w:tblInd w:w="343" w:type="dxa"/>
        <w:tblCellMar>
          <w:top w:w="0" w:type="dxa"/>
          <w:left w:w="0" w:type="dxa"/>
          <w:bottom w:w="0" w:type="dxa"/>
          <w:right w:w="2" w:type="dxa"/>
        </w:tblCellMar>
      </w:tblPr>
      <w:tblGrid>
        <w:gridCol w:w="4801"/>
        <w:gridCol w:w="2252"/>
        <w:gridCol w:w="841"/>
        <w:gridCol w:w="1185"/>
        <w:gridCol w:w="1269"/>
        <w:gridCol w:w="1299"/>
      </w:tblGrid>
      <w:tr>
        <w:trPr>
          <w:trHeight w:val="505" w:hRule="atLeast"/>
        </w:trPr>
        <w:tc>
          <w:tcPr>
            <w:tcW w:w="4801" w:type="dxa"/>
            <w:tcBorders>
              <w:top w:val="nil"/>
              <w:left w:val="nil"/>
              <w:bottom w:val="nil"/>
              <w:right w:val="nil"/>
            </w:tcBorders>
            <w:shd w:val="clear" w:fill="dce6f1"/>
            <w:vAlign w:val="top"/>
          </w:tcPr>
          <w:p>
            <w:pPr>
              <w:spacing w:before="0" w:after="0" w:line="259" w:lineRule="auto"/>
              <w:ind w:left="988" w:right="0" w:hanging="732"/>
              <w:jc w:val="left"/>
            </w:pPr>
            <w:r>
              <w:rPr>
                <w:rFonts w:cs="Calibri" w:hAnsi="Calibri" w:eastAsia="Calibri" w:ascii="Calibri"/>
                <w:b w:val="1"/>
                <w:sz w:val="20"/>
              </w:rPr>
              <w:t xml:space="preserve">4.1.1.	</w:t>
            </w:r>
            <w:r>
              <w:rPr>
                <w:rFonts w:cs="Calibri" w:hAnsi="Calibri" w:eastAsia="Calibri" w:ascii="Calibri"/>
                <w:b w:val="1"/>
                <w:sz w:val="20"/>
              </w:rPr>
              <w:t xml:space="preserve">+Technical+support+for+the+National+Police+to+p political+economy+analysis.++</w:t>
            </w:r>
          </w:p>
        </w:tc>
        <w:tc>
          <w:tcPr>
            <w:tcW w:w="2252" w:type="dxa"/>
            <w:tcBorders>
              <w:top w:val="nil"/>
              <w:left w:val="nil"/>
              <w:bottom w:val="nil"/>
              <w:right w:val="nil"/>
            </w:tcBorders>
            <w:shd w:val="clear" w:fill="dce6f1"/>
            <w:vAlign w:val="top"/>
          </w:tcPr>
          <w:p>
            <w:pPr>
              <w:spacing w:before="0" w:after="0" w:line="259" w:lineRule="auto"/>
              <w:ind w:left="-41" w:right="0" w:firstLine="0"/>
            </w:pPr>
            <w:r>
              <w:rPr>
                <w:rFonts w:cs="Calibri" w:hAnsi="Calibri" w:eastAsia="Calibri" w:ascii="Calibri"/>
                <w:b w:val="1"/>
                <w:sz w:val="20"/>
              </w:rPr>
              <w:t xml:space="preserve">rocure+equipment+for+rapid+</w:t>
            </w:r>
          </w:p>
        </w:tc>
        <w:tc>
          <w:tcPr>
            <w:tcW w:w="841" w:type="dxa"/>
            <w:tcBorders>
              <w:top w:val="nil"/>
              <w:left w:val="nil"/>
              <w:bottom w:val="nil"/>
              <w:right w:val="nil"/>
            </w:tcBorders>
            <w:shd w:val="clear" w:fill="dce6f1"/>
            <w:vAlign w:val="top"/>
          </w:tcPr>
          <w:p>
            <w:pPr>
              <w:spacing w:before="0" w:after="0" w:line="259" w:lineRule="auto"/>
              <w:ind w:left="-2" w:right="0" w:firstLine="0"/>
            </w:pPr>
            <w:r>
              <w:rPr>
                <w:rFonts w:cs="Calibri" w:hAnsi="Calibri" w:eastAsia="Calibri" w:ascii="Calibri"/>
                <w:b w:val="1"/>
                <w:sz w:val="20"/>
              </w:rPr>
              <w:t xml:space="preserve">response+</w:t>
            </w:r>
          </w:p>
        </w:tc>
        <w:tc>
          <w:tcPr>
            <w:tcW w:w="2454" w:type="dxa"/>
            <w:gridSpan w:val="2"/>
            <w:tcBorders>
              <w:top w:val="nil"/>
              <w:left w:val="nil"/>
              <w:bottom w:val="nil"/>
              <w:right w:val="nil"/>
            </w:tcBorders>
            <w:shd w:val="clear" w:fill="dce6f1"/>
            <w:vAlign w:val="top"/>
          </w:tcPr>
          <w:p>
            <w:pPr>
              <w:spacing w:before="0" w:after="0" w:line="259" w:lineRule="auto"/>
              <w:ind w:left="-51" w:right="0" w:firstLine="0"/>
              <w:jc w:val="left"/>
            </w:pPr>
            <w:r>
              <w:rPr>
                <w:rFonts w:cs="Calibri" w:hAnsi="Calibri" w:eastAsia="Calibri" w:ascii="Calibri"/>
                <w:b w:val="1"/>
                <w:sz w:val="20"/>
              </w:rPr>
              <w:t xml:space="preserve">management+and+conflict+ma</w:t>
            </w:r>
          </w:p>
        </w:tc>
        <w:tc>
          <w:tcPr>
            <w:tcW w:w="1299" w:type="dxa"/>
            <w:tcBorders>
              <w:top w:val="nil"/>
              <w:left w:val="nil"/>
              <w:bottom w:val="nil"/>
              <w:right w:val="nil"/>
            </w:tcBorders>
            <w:shd w:val="clear" w:fill="dce6f1"/>
            <w:vAlign w:val="top"/>
          </w:tcPr>
          <w:p>
            <w:pPr>
              <w:spacing w:before="0" w:after="0" w:line="259" w:lineRule="auto"/>
              <w:ind w:left="-97" w:right="0" w:firstLine="0"/>
              <w:jc w:val="left"/>
            </w:pPr>
            <w:r>
              <w:rPr>
                <w:rFonts w:cs="Calibri" w:hAnsi="Calibri" w:eastAsia="Calibri" w:ascii="Calibri"/>
                <w:b w:val="1"/>
                <w:sz w:val="20"/>
              </w:rPr>
              <w:t xml:space="preserve">pping+based+on+</w:t>
            </w:r>
          </w:p>
        </w:tc>
      </w:tr>
      <w:tr>
        <w:trPr>
          <w:trHeight w:val="3336" w:hRule="atLeast"/>
        </w:trPr>
        <w:tc>
          <w:tcPr>
            <w:tcW w:w="4801" w:type="dxa"/>
            <w:vMerge w:val="restart"/>
            <w:tcBorders>
              <w:top w:val="nil"/>
              <w:left w:val="nil"/>
              <w:bottom w:val="nil"/>
              <w:right w:val="nil"/>
            </w:tcBorders>
            <w:vAlign w:val="top"/>
          </w:tcPr>
          <w:p>
            <w:pPr>
              <w:spacing w:before="0" w:after="0" w:line="259" w:lineRule="auto"/>
              <w:ind w:left="959" w:right="0" w:firstLine="0"/>
              <w:jc w:val="center"/>
            </w:pPr>
            <w:r>
              <w:rPr>
                <w:rFonts w:cs="Calibri" w:hAnsi="Calibri" w:eastAsia="Calibri" w:ascii="Calibri"/>
                <w:b w:val="1"/>
                <w:sz w:val="20"/>
              </w:rPr>
              <w:t xml:space="preserve">+ACTIVITY+</w:t>
            </w:r>
          </w:p>
          <w:p>
            <w:pPr>
              <w:spacing w:before="0" w:after="0" w:line="252" w:lineRule="auto"/>
              <w:ind w:left="33" w:right="0" w:firstLine="1"/>
              <w:jc w:val="left"/>
            </w:pPr>
            <w:r>
              <w:rPr>
                <w:rFonts w:cs="Calibri" w:hAnsi="Calibri" w:eastAsia="Calibri" w:ascii="Calibri"/>
                <w:sz w:val="20"/>
              </w:rPr>
              <w:t xml:space="preserve">A.**Assessment*of*TPF*communications*infrastructure*to* focus*on*leverageing*investments*made*in*2010*by* UNDP/ESP*including*towers,*analog*repeaters,*handheld*</w:t>
            </w:r>
          </w:p>
          <w:p>
            <w:pPr>
              <w:spacing w:before="0" w:after="0" w:line="259" w:lineRule="auto"/>
              <w:ind w:left="33" w:right="0" w:firstLine="3"/>
              <w:jc w:val="left"/>
            </w:pPr>
            <w:r>
              <w:rPr>
                <w:rFonts w:cs="Calibri" w:hAnsi="Calibri" w:eastAsia="Calibri" w:ascii="Calibri"/>
                <w:sz w:val="20"/>
              </w:rPr>
              <w:t xml:space="preserve">units,*solar*pannels,*etc.**Report*to*include* recommendations*for*updates/rehabilitation*of* infrastructure*in*advance*of*2015*elections.</w:t>
            </w:r>
          </w:p>
        </w:tc>
        <w:tc>
          <w:tcPr>
            <w:tcW w:w="2252" w:type="dxa"/>
            <w:vMerge w:val="restart"/>
            <w:tcBorders>
              <w:top w:val="nil"/>
              <w:left w:val="nil"/>
              <w:bottom w:val="nil"/>
              <w:right w:val="nil"/>
            </w:tcBorders>
            <w:vAlign w:val="top"/>
          </w:tcPr>
          <w:p>
            <w:pPr>
              <w:spacing w:before="0" w:after="0" w:line="259" w:lineRule="auto"/>
              <w:ind w:left="527" w:right="0" w:firstLine="0"/>
              <w:jc w:val="center"/>
            </w:pPr>
            <w:r>
              <w:rPr>
                <w:rFonts w:cs="Calibri" w:hAnsi="Calibri" w:eastAsia="Calibri" w:ascii="Calibri"/>
                <w:b w:val="1"/>
                <w:sz w:val="20"/>
              </w:rPr>
              <w:t xml:space="preserve">ITEM</w:t>
            </w:r>
          </w:p>
          <w:p>
            <w:pPr>
              <w:spacing w:before="0" w:after="0" w:line="252" w:lineRule="auto"/>
              <w:ind w:left="2" w:right="0" w:hanging="0"/>
              <w:jc w:val="left"/>
            </w:pPr>
            <w:r>
              <w:rPr>
                <w:rFonts w:cs="Calibri" w:hAnsi="Calibri" w:eastAsia="Calibri" w:ascii="Calibri"/>
                <w:sz w:val="20"/>
              </w:rPr>
              <w:t xml:space="preserve">*Intl*Consultants*3* Communications*</w:t>
            </w:r>
          </w:p>
          <w:p>
            <w:pPr>
              <w:spacing w:before="0" w:after="0" w:line="259" w:lineRule="auto"/>
              <w:ind w:left="0" w:right="0" w:firstLine="0"/>
              <w:jc w:val="left"/>
            </w:pPr>
            <w:r>
              <w:rPr>
                <w:rFonts w:cs="Calibri" w:hAnsi="Calibri" w:eastAsia="Calibri" w:ascii="Calibri"/>
                <w:sz w:val="20"/>
              </w:rPr>
              <w:t xml:space="preserve">Systems*(2)*</w:t>
            </w:r>
          </w:p>
          <w:p>
            <w:pPr>
              <w:spacing w:before="0" w:after="0" w:line="252" w:lineRule="auto"/>
              <w:ind w:left="2" w:right="66" w:hanging="0"/>
              <w:jc w:val="left"/>
            </w:pPr>
            <w:r>
              <w:rPr>
                <w:rFonts w:cs="Calibri" w:hAnsi="Calibri" w:eastAsia="Calibri" w:ascii="Calibri"/>
                <w:sz w:val="20"/>
              </w:rPr>
              <w:t xml:space="preserve">*Intl*Consultants*3* Perdiem*</w:t>
            </w:r>
          </w:p>
          <w:p>
            <w:pPr>
              <w:spacing w:before="0" w:after="0" w:line="252" w:lineRule="auto"/>
              <w:ind w:left="2" w:right="190" w:hanging="0"/>
              <w:jc w:val="left"/>
            </w:pPr>
            <w:r>
              <w:rPr>
                <w:rFonts w:cs="Calibri" w:hAnsi="Calibri" w:eastAsia="Calibri" w:ascii="Calibri"/>
                <w:sz w:val="20"/>
              </w:rPr>
              <w:t xml:space="preserve">*Intl*Consultants*3* Airfare*</w:t>
            </w:r>
          </w:p>
          <w:p>
            <w:pPr>
              <w:spacing w:before="0" w:after="0" w:line="259" w:lineRule="auto"/>
              <w:ind w:left="2" w:right="0" w:firstLine="0"/>
              <w:jc w:val="left"/>
            </w:pPr>
            <w:r>
              <w:rPr>
                <w:rFonts w:cs="Calibri" w:hAnsi="Calibri" w:eastAsia="Calibri" w:ascii="Calibri"/>
                <w:sz w:val="20"/>
              </w:rPr>
              <w:t xml:space="preserve">*National*Consultants3*</w:t>
            </w:r>
          </w:p>
          <w:p>
            <w:pPr>
              <w:spacing w:before="0" w:after="2" w:line="259" w:lineRule="auto"/>
              <w:ind w:left="1" w:right="0" w:firstLine="0"/>
              <w:jc w:val="left"/>
            </w:pPr>
            <w:r>
              <w:rPr>
                <w:rFonts w:cs="Calibri" w:hAnsi="Calibri" w:eastAsia="Calibri" w:ascii="Calibri"/>
                <w:sz w:val="20"/>
              </w:rPr>
              <w:t xml:space="preserve">Communications(2)*</w:t>
            </w:r>
          </w:p>
          <w:p>
            <w:pPr>
              <w:spacing w:before="0" w:after="0" w:line="259" w:lineRule="auto"/>
              <w:ind w:left="2" w:right="0" w:hanging="0"/>
              <w:jc w:val="left"/>
            </w:pPr>
            <w:r>
              <w:rPr>
                <w:rFonts w:cs="Calibri" w:hAnsi="Calibri" w:eastAsia="Calibri" w:ascii="Calibri"/>
                <w:sz w:val="20"/>
              </w:rPr>
              <w:t xml:space="preserve">*National*Consultants*3* Airfare*</w:t>
            </w:r>
          </w:p>
        </w:tc>
        <w:tc>
          <w:tcPr>
            <w:tcW w:w="841" w:type="dxa"/>
            <w:tcBorders>
              <w:top w:val="nil"/>
              <w:left w:val="nil"/>
              <w:bottom w:val="double" w:sz="7" w:color="000000"/>
              <w:right w:val="nil"/>
            </w:tcBorders>
            <w:vAlign w:val="top"/>
          </w:tcPr>
          <w:p>
            <w:pPr>
              <w:spacing w:before="0" w:after="6" w:line="259" w:lineRule="auto"/>
              <w:ind w:left="0" w:right="0" w:firstLine="0"/>
              <w:jc w:val="left"/>
            </w:pPr>
            <w:r>
              <w:rPr>
                <w:rFonts w:cs="Calibri" w:hAnsi="Calibri" w:eastAsia="Calibri" w:ascii="Calibri"/>
                <w:b w:val="1"/>
                <w:sz w:val="20"/>
              </w:rPr>
              <w:t xml:space="preserve">UNIT</w:t>
            </w:r>
          </w:p>
          <w:p>
            <w:pPr>
              <w:spacing w:before="0" w:after="489" w:line="259" w:lineRule="auto"/>
              <w:ind w:left="16" w:right="0" w:firstLine="0"/>
              <w:jc w:val="left"/>
            </w:pPr>
            <w:r>
              <w:rPr>
                <w:rFonts w:cs="Calibri" w:hAnsi="Calibri" w:eastAsia="Calibri" w:ascii="Calibri"/>
                <w:sz w:val="20"/>
              </w:rPr>
              <w:t xml:space="preserve">Days</w:t>
            </w:r>
          </w:p>
          <w:p>
            <w:pPr>
              <w:spacing w:before="0" w:after="239" w:line="259" w:lineRule="auto"/>
              <w:ind w:left="16" w:right="0" w:firstLine="0"/>
              <w:jc w:val="left"/>
            </w:pPr>
            <w:r>
              <w:rPr>
                <w:rFonts w:cs="Calibri" w:hAnsi="Calibri" w:eastAsia="Calibri" w:ascii="Calibri"/>
                <w:sz w:val="20"/>
              </w:rPr>
              <w:t xml:space="preserve">Days</w:t>
            </w:r>
          </w:p>
          <w:p>
            <w:pPr>
              <w:spacing w:before="0" w:after="256" w:line="259" w:lineRule="auto"/>
              <w:ind w:left="67" w:right="0" w:firstLine="0"/>
              <w:jc w:val="left"/>
            </w:pPr>
            <w:r>
              <w:rPr>
                <w:rFonts w:cs="Calibri" w:hAnsi="Calibri" w:eastAsia="Calibri" w:ascii="Calibri"/>
                <w:sz w:val="20"/>
              </w:rPr>
              <w:t xml:space="preserve">R/T</w:t>
            </w:r>
          </w:p>
          <w:p>
            <w:pPr>
              <w:spacing w:before="0" w:after="256" w:line="259" w:lineRule="auto"/>
              <w:ind w:left="16" w:right="0" w:firstLine="0"/>
              <w:jc w:val="left"/>
            </w:pPr>
            <w:r>
              <w:rPr>
                <w:rFonts w:cs="Calibri" w:hAnsi="Calibri" w:eastAsia="Calibri" w:ascii="Calibri"/>
                <w:sz w:val="20"/>
              </w:rPr>
              <w:t xml:space="preserve">Days</w:t>
            </w:r>
          </w:p>
          <w:p>
            <w:pPr>
              <w:spacing w:before="0" w:after="0" w:line="259" w:lineRule="auto"/>
              <w:ind w:left="67" w:right="0" w:firstLine="0"/>
              <w:jc w:val="left"/>
            </w:pPr>
            <w:r>
              <w:rPr>
                <w:rFonts w:cs="Calibri" w:hAnsi="Calibri" w:eastAsia="Calibri" w:ascii="Calibri"/>
                <w:sz w:val="20"/>
              </w:rPr>
              <w:t xml:space="preserve">R/T</w:t>
            </w:r>
          </w:p>
        </w:tc>
        <w:tc>
          <w:tcPr>
            <w:tcW w:w="1185" w:type="dxa"/>
            <w:tcBorders>
              <w:top w:val="nil"/>
              <w:left w:val="nil"/>
              <w:bottom w:val="double" w:sz="7" w:color="000000"/>
              <w:right w:val="nil"/>
            </w:tcBorders>
            <w:vAlign w:val="top"/>
          </w:tcPr>
          <w:p>
            <w:pPr>
              <w:tabs>
                <w:tab w:val="right" w:pos="1183"/>
              </w:tabs>
              <w:spacing w:before="0" w:after="6" w:line="259" w:lineRule="auto"/>
              <w:ind w:left="0" w:right="0" w:firstLine="0"/>
              <w:jc w:val="left"/>
            </w:pPr>
            <w:r>
              <w:rPr>
                <w:rFonts w:cs="Calibri" w:hAnsi="Calibri" w:eastAsia="Calibri" w:ascii="Calibri"/>
                <w:b w:val="1"/>
                <w:sz w:val="20"/>
              </w:rPr>
              <w:t xml:space="preserve">NO.+UNITS	I</w:t>
            </w:r>
          </w:p>
          <w:p>
            <w:pPr>
              <w:spacing w:before="0" w:after="489" w:line="259" w:lineRule="auto"/>
              <w:ind w:left="335" w:right="0" w:firstLine="0"/>
              <w:jc w:val="left"/>
            </w:pPr>
            <w:r>
              <w:rPr>
                <w:rFonts w:cs="Calibri" w:hAnsi="Calibri" w:eastAsia="Calibri" w:ascii="Calibri"/>
                <w:sz w:val="20"/>
              </w:rPr>
              <w:t xml:space="preserve">50</w:t>
            </w:r>
          </w:p>
          <w:p>
            <w:pPr>
              <w:spacing w:before="0" w:after="17" w:line="496" w:lineRule="auto"/>
              <w:ind w:left="387" w:right="546" w:hanging="52"/>
              <w:jc w:val="left"/>
            </w:pPr>
            <w:r>
              <w:rPr>
                <w:rFonts w:cs="Calibri" w:hAnsi="Calibri" w:eastAsia="Calibri" w:ascii="Calibri"/>
                <w:sz w:val="20"/>
              </w:rPr>
              <w:t xml:space="preserve">70 2</w:t>
            </w:r>
          </w:p>
          <w:p>
            <w:pPr>
              <w:spacing w:before="0" w:after="0" w:line="259" w:lineRule="auto"/>
              <w:ind w:left="335" w:right="0" w:firstLine="0"/>
              <w:jc w:val="left"/>
            </w:pPr>
            <w:r>
              <w:rPr>
                <w:rFonts w:cs="Calibri" w:hAnsi="Calibri" w:eastAsia="Calibri" w:ascii="Calibri"/>
                <w:sz w:val="20"/>
              </w:rPr>
              <w:t xml:space="preserve">50</w:t>
            </w:r>
          </w:p>
          <w:p>
            <w:pPr>
              <w:spacing w:before="0" w:after="6" w:line="259" w:lineRule="auto"/>
              <w:ind w:left="335" w:right="0" w:firstLine="0"/>
              <w:jc w:val="left"/>
            </w:pPr>
            <w:r>
              <w:rPr>
                <w:rFonts w:cs="Calibri" w:hAnsi="Calibri" w:eastAsia="Calibri" w:ascii="Calibri"/>
                <w:sz w:val="20"/>
              </w:rPr>
              <w:t xml:space="preserve">20</w:t>
            </w:r>
          </w:p>
          <w:p>
            <w:pPr>
              <w:spacing w:before="0" w:after="0" w:line="259" w:lineRule="auto"/>
              <w:ind w:left="387" w:right="0" w:firstLine="0"/>
              <w:jc w:val="left"/>
            </w:pPr>
            <w:r>
              <w:rPr>
                <w:rFonts w:cs="Calibri" w:hAnsi="Calibri" w:eastAsia="Calibri" w:ascii="Calibri"/>
                <w:sz w:val="20"/>
              </w:rPr>
              <w:t xml:space="preserve">2</w:t>
            </w:r>
          </w:p>
        </w:tc>
        <w:tc>
          <w:tcPr>
            <w:tcW w:w="1269" w:type="dxa"/>
            <w:tcBorders>
              <w:top w:val="nil"/>
              <w:left w:val="nil"/>
              <w:bottom w:val="double" w:sz="7" w:color="000000"/>
              <w:right w:val="nil"/>
            </w:tcBorders>
            <w:vAlign w:val="top"/>
          </w:tcPr>
          <w:p>
            <w:pPr>
              <w:spacing w:before="0" w:after="6" w:line="259" w:lineRule="auto"/>
              <w:ind w:left="-46" w:right="0" w:firstLine="0"/>
              <w:jc w:val="left"/>
            </w:pPr>
            <w:r>
              <w:rPr>
                <w:rFonts w:cs="Calibri" w:hAnsi="Calibri" w:eastAsia="Calibri" w:ascii="Calibri"/>
                <w:b w:val="1"/>
                <w:sz w:val="20"/>
              </w:rPr>
              <w:t xml:space="preserve">TEM+COST</w:t>
            </w:r>
          </w:p>
          <w:p>
            <w:pPr>
              <w:spacing w:before="0" w:after="489" w:line="259" w:lineRule="auto"/>
              <w:ind w:left="276" w:right="0" w:firstLine="0"/>
              <w:jc w:val="left"/>
            </w:pPr>
            <w:r>
              <w:rPr>
                <w:rFonts w:cs="Calibri" w:hAnsi="Calibri" w:eastAsia="Calibri" w:ascii="Calibri"/>
                <w:sz w:val="20"/>
              </w:rPr>
              <w:t xml:space="preserve">$750.00</w:t>
            </w:r>
          </w:p>
          <w:p>
            <w:pPr>
              <w:spacing w:before="0" w:after="239" w:line="259" w:lineRule="auto"/>
              <w:ind w:left="276" w:right="0" w:firstLine="0"/>
              <w:jc w:val="left"/>
            </w:pPr>
            <w:r>
              <w:rPr>
                <w:rFonts w:cs="Calibri" w:hAnsi="Calibri" w:eastAsia="Calibri" w:ascii="Calibri"/>
                <w:sz w:val="20"/>
              </w:rPr>
              <w:t xml:space="preserve">$216.00</w:t>
            </w:r>
          </w:p>
          <w:p>
            <w:pPr>
              <w:spacing w:before="0" w:after="256" w:line="259" w:lineRule="auto"/>
              <w:ind w:left="125" w:right="0" w:firstLine="0"/>
              <w:jc w:val="left"/>
            </w:pPr>
            <w:r>
              <w:rPr>
                <w:rFonts w:cs="Calibri" w:hAnsi="Calibri" w:eastAsia="Calibri" w:ascii="Calibri"/>
                <w:sz w:val="20"/>
              </w:rPr>
              <w:t xml:space="preserve">$2,500.00</w:t>
            </w:r>
          </w:p>
          <w:p>
            <w:pPr>
              <w:spacing w:before="0" w:after="0" w:line="259" w:lineRule="auto"/>
              <w:ind w:left="276" w:right="0" w:firstLine="0"/>
              <w:jc w:val="left"/>
            </w:pPr>
            <w:r>
              <w:rPr>
                <w:rFonts w:cs="Calibri" w:hAnsi="Calibri" w:eastAsia="Calibri" w:ascii="Calibri"/>
                <w:sz w:val="20"/>
              </w:rPr>
              <w:t xml:space="preserve">$500.00</w:t>
            </w:r>
          </w:p>
          <w:p>
            <w:pPr>
              <w:spacing w:before="0" w:after="6" w:line="259" w:lineRule="auto"/>
              <w:ind w:left="276" w:right="0" w:firstLine="0"/>
              <w:jc w:val="left"/>
            </w:pPr>
            <w:r>
              <w:rPr>
                <w:rFonts w:cs="Calibri" w:hAnsi="Calibri" w:eastAsia="Calibri" w:ascii="Calibri"/>
                <w:sz w:val="20"/>
              </w:rPr>
              <w:t xml:space="preserve">$100.00</w:t>
            </w:r>
          </w:p>
          <w:p>
            <w:pPr>
              <w:spacing w:before="0" w:after="0" w:line="259" w:lineRule="auto"/>
              <w:ind w:left="276" w:right="0" w:firstLine="0"/>
              <w:jc w:val="left"/>
            </w:pPr>
            <w:r>
              <w:rPr>
                <w:rFonts w:cs="Calibri" w:hAnsi="Calibri" w:eastAsia="Calibri" w:ascii="Calibri"/>
                <w:sz w:val="20"/>
              </w:rPr>
              <w:t xml:space="preserve">$300.00</w:t>
            </w:r>
          </w:p>
        </w:tc>
        <w:tc>
          <w:tcPr>
            <w:tcW w:w="1299" w:type="dxa"/>
            <w:tcBorders>
              <w:top w:val="nil"/>
              <w:left w:val="nil"/>
              <w:bottom w:val="double" w:sz="7" w:color="000000"/>
              <w:right w:val="nil"/>
            </w:tcBorders>
            <w:vAlign w:val="top"/>
          </w:tcPr>
          <w:p>
            <w:pPr>
              <w:spacing w:before="0" w:after="6" w:line="259" w:lineRule="auto"/>
              <w:ind w:left="0" w:right="0" w:firstLine="0"/>
              <w:jc w:val="left"/>
            </w:pPr>
            <w:r>
              <w:rPr>
                <w:rFonts w:cs="Calibri" w:hAnsi="Calibri" w:eastAsia="Calibri" w:ascii="Calibri"/>
                <w:b w:val="1"/>
                <w:sz w:val="20"/>
              </w:rPr>
              <w:t xml:space="preserve">ITEM+TOTAL</w:t>
            </w:r>
          </w:p>
          <w:p>
            <w:pPr>
              <w:spacing w:before="0" w:after="489" w:line="259" w:lineRule="auto"/>
              <w:ind w:left="0" w:right="34" w:firstLine="0"/>
              <w:jc w:val="right"/>
            </w:pPr>
            <w:r>
              <w:rPr>
                <w:rFonts w:cs="Calibri" w:hAnsi="Calibri" w:eastAsia="Calibri" w:ascii="Calibri"/>
                <w:sz w:val="20"/>
              </w:rPr>
              <w:t xml:space="preserve">$37,500.00</w:t>
            </w:r>
          </w:p>
          <w:p>
            <w:pPr>
              <w:spacing w:before="0" w:after="239" w:line="259" w:lineRule="auto"/>
              <w:ind w:left="0" w:right="34" w:firstLine="0"/>
              <w:jc w:val="right"/>
            </w:pPr>
            <w:r>
              <w:rPr>
                <w:rFonts w:cs="Calibri" w:hAnsi="Calibri" w:eastAsia="Calibri" w:ascii="Calibri"/>
                <w:sz w:val="20"/>
              </w:rPr>
              <w:t xml:space="preserve">$15,120.00</w:t>
            </w:r>
          </w:p>
          <w:p>
            <w:pPr>
              <w:spacing w:before="0" w:after="256" w:line="259" w:lineRule="auto"/>
              <w:ind w:left="0" w:right="35" w:firstLine="0"/>
              <w:jc w:val="right"/>
            </w:pPr>
            <w:r>
              <w:rPr>
                <w:rFonts w:cs="Calibri" w:hAnsi="Calibri" w:eastAsia="Calibri" w:ascii="Calibri"/>
                <w:sz w:val="20"/>
              </w:rPr>
              <w:t xml:space="preserve">$5,000.00</w:t>
            </w:r>
          </w:p>
          <w:p>
            <w:pPr>
              <w:spacing w:before="0" w:after="0" w:line="259" w:lineRule="auto"/>
              <w:ind w:left="0" w:right="34" w:firstLine="0"/>
              <w:jc w:val="right"/>
            </w:pPr>
            <w:r>
              <w:rPr>
                <w:rFonts w:cs="Calibri" w:hAnsi="Calibri" w:eastAsia="Calibri" w:ascii="Calibri"/>
                <w:sz w:val="20"/>
              </w:rPr>
              <w:t xml:space="preserve">$25,000.00</w:t>
            </w:r>
          </w:p>
          <w:p>
            <w:pPr>
              <w:spacing w:before="0" w:after="0" w:line="259" w:lineRule="auto"/>
              <w:ind w:left="0" w:right="34" w:firstLine="0"/>
              <w:jc w:val="right"/>
            </w:pPr>
            <w:r>
              <w:rPr>
                <w:rFonts w:cs="Calibri" w:hAnsi="Calibri" w:eastAsia="Calibri" w:ascii="Calibri"/>
                <w:sz w:val="20"/>
              </w:rPr>
              <w:t xml:space="preserve">$2,000.00 $600.00</w:t>
            </w:r>
          </w:p>
        </w:tc>
      </w:tr>
      <w:tr>
        <w:trPr>
          <w:trHeight w:val="268" w:hRule="atLeast"/>
        </w:trPr>
        <w:tc>
          <w:tcPr>
            <w:vMerge w:val="continue"/>
            <w:tcBorders>
              <w:top w:val="nil"/>
              <w:left w:val="nil"/>
              <w:bottom w:val="nil"/>
              <w:right w:val="nil"/>
            </w:tcBorders>
            <w:vAlign w:val="center"/>
          </w:tcPr>
          <w:p>
            <w:pPr>
              <w:bidi w:val="0"/>
              <w:spacing w:before="0" w:after="160" w:line="259" w:lineRule="auto"/>
              <w:ind w:left="0" w:right="0" w:firstLine="0"/>
              <w:jc w:val="left"/>
            </w:pPr>
          </w:p>
        </w:tc>
        <w:tc>
          <w:tcPr>
            <w:vMerge w:val="continue"/>
            <w:tcBorders>
              <w:top w:val="nil"/>
              <w:left w:val="nil"/>
              <w:bottom w:val="nil"/>
              <w:right w:val="nil"/>
            </w:tcBorders>
            <w:vAlign w:val="center"/>
          </w:tcPr>
          <w:p>
            <w:pPr>
              <w:bidi w:val="0"/>
              <w:spacing w:before="0" w:after="160" w:line="259" w:lineRule="auto"/>
              <w:ind w:left="0" w:right="0" w:firstLine="0"/>
              <w:jc w:val="left"/>
            </w:pPr>
          </w:p>
        </w:tc>
        <w:tc>
          <w:tcPr>
            <w:tcW w:w="841" w:type="dxa"/>
            <w:tcBorders>
              <w:top w:val="double" w:sz="7" w:color="000000"/>
              <w:left w:val="nil"/>
              <w:bottom w:val="nil"/>
              <w:right w:val="nil"/>
            </w:tcBorders>
            <w:vAlign w:val="center"/>
          </w:tcPr>
          <w:p>
            <w:pPr>
              <w:bidi w:val="0"/>
              <w:spacing w:before="0" w:after="160" w:line="259" w:lineRule="auto"/>
              <w:ind w:left="0" w:right="0" w:firstLine="0"/>
              <w:jc w:val="left"/>
            </w:pPr>
          </w:p>
        </w:tc>
        <w:tc>
          <w:tcPr>
            <w:tcW w:w="1185" w:type="dxa"/>
            <w:tcBorders>
              <w:top w:val="double" w:sz="7" w:color="000000"/>
              <w:left w:val="nil"/>
              <w:bottom w:val="nil"/>
              <w:right w:val="nil"/>
            </w:tcBorders>
            <w:vAlign w:val="center"/>
          </w:tcPr>
          <w:p>
            <w:pPr>
              <w:bidi w:val="0"/>
              <w:spacing w:before="0" w:after="160" w:line="259" w:lineRule="auto"/>
              <w:ind w:left="0" w:right="0" w:firstLine="0"/>
              <w:jc w:val="left"/>
            </w:pPr>
          </w:p>
        </w:tc>
        <w:tc>
          <w:tcPr>
            <w:tcW w:w="1269" w:type="dxa"/>
            <w:tcBorders>
              <w:top w:val="double" w:sz="7" w:color="000000"/>
              <w:left w:val="nil"/>
              <w:bottom w:val="nil"/>
              <w:right w:val="nil"/>
            </w:tcBorders>
            <w:vAlign w:val="top"/>
          </w:tcPr>
          <w:p>
            <w:pPr>
              <w:spacing w:before="0" w:after="0" w:line="259" w:lineRule="auto"/>
              <w:ind w:left="0" w:right="0" w:firstLine="0"/>
              <w:jc w:val="left"/>
            </w:pPr>
            <w:r>
              <w:rPr>
                <w:rFonts w:cs="Calibri" w:hAnsi="Calibri" w:eastAsia="Calibri" w:ascii="Calibri"/>
                <w:b w:val="1"/>
                <w:sz w:val="20"/>
              </w:rPr>
              <w:t xml:space="preserve">SUBTOTAL:</w:t>
            </w:r>
          </w:p>
        </w:tc>
        <w:tc>
          <w:tcPr>
            <w:tcW w:w="1299" w:type="dxa"/>
            <w:tcBorders>
              <w:top w:val="double" w:sz="7" w:color="000000"/>
              <w:left w:val="nil"/>
              <w:bottom w:val="nil"/>
              <w:right w:val="nil"/>
            </w:tcBorders>
            <w:vAlign w:val="top"/>
          </w:tcPr>
          <w:p>
            <w:pPr>
              <w:spacing w:before="0" w:after="0" w:line="259" w:lineRule="auto"/>
              <w:ind w:left="0" w:right="34" w:firstLine="0"/>
              <w:jc w:val="right"/>
            </w:pPr>
            <w:r>
              <w:rPr>
                <w:rFonts w:cs="Calibri" w:hAnsi="Calibri" w:eastAsia="Calibri" w:ascii="Calibri"/>
                <w:b w:val="1"/>
                <w:sz w:val="20"/>
              </w:rPr>
              <w:t xml:space="preserve">$85,220.00</w:t>
            </w:r>
          </w:p>
        </w:tc>
      </w:tr>
      <w:tr>
        <w:trPr>
          <w:trHeight w:val="505" w:hRule="atLeast"/>
        </w:trPr>
        <w:tc>
          <w:tcPr>
            <w:tcW w:w="11647" w:type="dxa"/>
            <w:gridSpan w:val="6"/>
            <w:tcBorders>
              <w:top w:val="nil"/>
              <w:left w:val="nil"/>
              <w:bottom w:val="nil"/>
              <w:right w:val="nil"/>
            </w:tcBorders>
            <w:shd w:val="clear" w:fill="dce6f1"/>
            <w:vAlign w:val="top"/>
          </w:tcPr>
          <w:p>
            <w:pPr>
              <w:spacing w:before="0" w:after="0" w:line="259" w:lineRule="auto"/>
              <w:ind w:left="989" w:right="0" w:hanging="733"/>
              <w:jc w:val="left"/>
            </w:pPr>
            <w:r>
              <w:rPr>
                <w:rFonts w:cs="Calibri" w:hAnsi="Calibri" w:eastAsia="Calibri" w:ascii="Calibri"/>
                <w:b w:val="1"/>
                <w:sz w:val="20"/>
              </w:rPr>
              <w:t xml:space="preserve">4.1.2.	</w:t>
            </w:r>
            <w:r>
              <w:rPr>
                <w:rFonts w:cs="Calibri" w:hAnsi="Calibri" w:eastAsia="Calibri" w:ascii="Calibri"/>
                <w:b w:val="1"/>
                <w:sz w:val="20"/>
              </w:rPr>
              <w:t xml:space="preserve">+Facilitate+regional+interAstakeholder+(CSOs,+TCD+and+political+parties)+dialogue+to+improve+the+democratic+environment+and+build+ a+culture+of+peace+</w:t>
            </w:r>
          </w:p>
        </w:tc>
      </w:tr>
    </w:tbl>
    <w:p>
      <w:pPr>
        <w:spacing w:before="0" w:after="4" w:line="259" w:lineRule="auto"/>
        <w:ind w:left="433" w:right="0"/>
        <w:jc w:val="left"/>
      </w:pPr>
      <w:r>
        <w:rPr>
          <w:rFonts w:cs="Calibri" w:hAnsi="Calibri" w:eastAsia="Calibri" w:ascii="Calibri"/>
          <w:sz w:val="20"/>
        </w:rPr>
        <w:t xml:space="preserve">No*activities*planned*for*this*period.</w:t>
      </w:r>
    </w:p>
    <w:p>
      <w:pPr>
        <w:tabs>
          <w:tab w:val="center" w:pos="9884"/>
          <w:tab w:val="right" w:pos="12113"/>
        </w:tabs>
        <w:spacing w:before="0" w:after="0" w:line="265" w:lineRule="auto"/>
        <w:ind w:left="0" w:right="0" w:firstLine="0"/>
        <w:jc w:val="left"/>
      </w:pP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$0.00</w:t>
      </w:r>
    </w:p>
    <w:tbl>
      <w:tblPr>
        <w:tblStyle w:val="TableGrid"/>
        <w:tblW w:w="11647" w:type="dxa"/>
        <w:tblInd w:w="343" w:type="dxa"/>
        <w:tblCellMar>
          <w:top w:w="0" w:type="dxa"/>
          <w:left w:w="63" w:type="dxa"/>
          <w:bottom w:w="0" w:type="dxa"/>
          <w:right w:w="115" w:type="dxa"/>
        </w:tblCellMar>
      </w:tblPr>
      <w:tblGrid>
        <w:gridCol w:w="987"/>
        <w:gridCol w:w="10660"/>
      </w:tblGrid>
      <w:tr>
        <w:trPr>
          <w:trHeight w:val="255" w:hRule="atLeast"/>
        </w:trPr>
        <w:tc>
          <w:tcPr>
            <w:tcW w:w="987" w:type="dxa"/>
            <w:tcBorders>
              <w:top w:val="nil"/>
              <w:left w:val="nil"/>
              <w:bottom w:val="nil"/>
              <w:right w:val="nil"/>
            </w:tcBorders>
            <w:shd w:val="clear" w:fill="dce6f1"/>
            <w:vAlign w:val="top"/>
          </w:tcPr>
          <w:p>
            <w:pPr>
              <w:spacing w:before="0" w:after="0" w:line="259" w:lineRule="auto"/>
              <w:ind w:left="38" w:right="0" w:firstLine="0"/>
              <w:jc w:val="center"/>
            </w:pPr>
            <w:r>
              <w:rPr>
                <w:rFonts w:cs="Calibri" w:hAnsi="Calibri" w:eastAsia="Calibri" w:ascii="Calibri"/>
                <w:b w:val="1"/>
                <w:sz w:val="20"/>
              </w:rPr>
              <w:t xml:space="preserve">4.1.3.</w:t>
            </w:r>
          </w:p>
        </w:tc>
        <w:tc>
          <w:tcPr>
            <w:tcW w:w="10660" w:type="dxa"/>
            <w:tcBorders>
              <w:top w:val="nil"/>
              <w:left w:val="nil"/>
              <w:bottom w:val="nil"/>
              <w:right w:val="nil"/>
            </w:tcBorders>
            <w:shd w:val="clear" w:fill="dce6f1"/>
            <w:vAlign w:val="top"/>
          </w:tcPr>
          <w:p>
            <w:pPr>
              <w:spacing w:before="0" w:after="0" w:line="259" w:lineRule="auto"/>
              <w:ind w:left="0" w:right="0" w:firstLine="0"/>
              <w:jc w:val="left"/>
            </w:pPr>
            <w:r>
              <w:rPr>
                <w:rFonts w:cs="Calibri" w:hAnsi="Calibri" w:eastAsia="Calibri" w:ascii="Calibri"/>
                <w:b w:val="1"/>
                <w:sz w:val="20"/>
              </w:rPr>
              <w:t xml:space="preserve">Provide+human+rights+and+gender+awareness+TOT+training+to+the+Police+both+on+mainland+and+Zanzibar.+++++++++++++++++++++++++++</w:t>
            </w:r>
          </w:p>
        </w:tc>
      </w:tr>
    </w:tbl>
    <w:p>
      <w:pPr>
        <w:numPr>
          <w:ilvl w:val="0"/>
          <w:numId w:val="23"/>
        </w:numPr>
        <w:spacing w:before="0" w:after="4" w:line="259" w:lineRule="auto"/>
        <w:ind w:left="1377" w:right="0" w:hanging="954"/>
        <w:jc w:val="left"/>
      </w:pPr>
      <w:r>
        <w:rPr>
          <w:rFonts w:cs="Calibri" w:hAnsi="Calibri" w:eastAsia="Calibri" w:ascii="Calibri"/>
          <w:sz w:val="20"/>
        </w:rPr>
        <w:t xml:space="preserve">Training*on*Human*Rights	Meeting*Costs	</w:t>
      </w:r>
      <w:r>
        <w:rPr>
          <w:rFonts w:cs="Calibri" w:hAnsi="Calibri" w:eastAsia="Calibri" w:ascii="Calibri"/>
          <w:sz w:val="20"/>
          <w:u w:val="single" w:color="000000"/>
        </w:rPr>
        <w:t xml:space="preserve">Pool	</w:t>
      </w:r>
      <w:r>
        <w:rPr>
          <w:rFonts w:cs="Calibri" w:hAnsi="Calibri" w:eastAsia="Calibri" w:ascii="Calibri"/>
          <w:sz w:val="20"/>
          <w:u w:val="single" w:color="000000"/>
        </w:rPr>
        <w:t xml:space="preserve">1	$80,000.00	$80,000.00</w:t>
      </w:r>
    </w:p>
    <w:p>
      <w:pPr>
        <w:tabs>
          <w:tab w:val="center" w:pos="9884"/>
          <w:tab w:val="right" w:pos="12113"/>
        </w:tabs>
        <w:spacing w:before="0" w:after="0" w:line="265" w:lineRule="auto"/>
        <w:ind w:left="0" w:right="0" w:firstLine="0"/>
        <w:jc w:val="left"/>
      </w:pPr>
      <w:r>
        <w:rPr>
          <w:rFonts w:cs="Calibri" w:hAnsi="Calibri" w:eastAsia="Calibri" w:ascii="Calibri"/>
          <w:sz w:val="22"/>
        </w:rPr>
        <w:drawing>
          <wp:anchor simplePos="0" relativeHeight="0" locked="0" layoutInCell="1" allowOverlap="1" behindDoc="0">
            <wp:simplePos x="0" y="0"/>
            <wp:positionH relativeFrom="column">
              <wp:posOffset>4445692</wp:posOffset>
            </wp:positionH>
            <wp:positionV relativeFrom="paragraph">
              <wp:posOffset>-3290</wp:posOffset>
            </wp:positionV>
            <wp:extent cx="3167579" cy="10960"/>
            <wp:wrapNone/>
            <wp:docPr id="145848" name="Group 145848"/>
            <wp:cNvGraphicFramePr/>
            <a:graphic>
              <a:graphicData uri="http://schemas.microsoft.com/office/word/2010/wordprocessingGroup">
                <wpg:wgp>
                  <wpg:cNvGrpSpPr/>
                  <wpg:grpSpPr>
                    <a:xfrm>
                      <a:off x="0" y="0"/>
                      <a:ext cx="3167579" cy="10960"/>
                      <a:chOff x="0" y="0"/>
                      <a:chExt cx="3167579" cy="10960"/>
                    </a:xfrm>
                  </wpg:grpSpPr>
                  <wps:wsp>
                    <wps:cNvPr id="172462" name="Shape 172462"/>
                    <wps:cNvSpPr/>
                    <wps:spPr>
                      <a:xfrm>
                        <a:off x="0" y="0"/>
                        <a:ext cx="3167579" cy="10960"/>
                      </a:xfrm>
                      <a:custGeom>
                        <a:pathLst>
                          <a:path w="3167579" h="10960">
                            <a:moveTo>
                              <a:pt x="0" y="0"/>
                            </a:moveTo>
                            <a:lnTo>
                              <a:pt x="3167579" y="0"/>
                            </a:lnTo>
                            <a:lnTo>
                              <a:pt x="3167579"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$80,000.00</w:t>
      </w:r>
    </w:p>
    <w:tbl>
      <w:tblPr>
        <w:tblStyle w:val="TableGrid"/>
        <w:tblW w:w="11647" w:type="dxa"/>
        <w:tblInd w:w="343" w:type="dxa"/>
        <w:tblCellMar>
          <w:top w:w="0" w:type="dxa"/>
          <w:left w:w="0" w:type="dxa"/>
          <w:bottom w:w="0" w:type="dxa"/>
          <w:right w:w="6" w:type="dxa"/>
        </w:tblCellMar>
      </w:tblPr>
      <w:tblGrid>
        <w:gridCol w:w="987"/>
        <w:gridCol w:w="10660"/>
      </w:tblGrid>
      <w:tr>
        <w:trPr>
          <w:trHeight w:val="505" w:hRule="atLeast"/>
        </w:trPr>
        <w:tc>
          <w:tcPr>
            <w:tcW w:w="987" w:type="dxa"/>
            <w:tcBorders>
              <w:top w:val="nil"/>
              <w:left w:val="nil"/>
              <w:bottom w:val="nil"/>
              <w:right w:val="nil"/>
            </w:tcBorders>
            <w:shd w:val="clear" w:fill="dce6f1"/>
            <w:vAlign w:val="top"/>
          </w:tcPr>
          <w:p>
            <w:pPr>
              <w:spacing w:before="0" w:after="0" w:line="259" w:lineRule="auto"/>
              <w:ind w:left="0" w:right="8" w:firstLine="0"/>
              <w:jc w:val="center"/>
            </w:pPr>
            <w:r>
              <w:rPr>
                <w:rFonts w:cs="Calibri" w:hAnsi="Calibri" w:eastAsia="Calibri" w:ascii="Calibri"/>
                <w:b w:val="1"/>
                <w:sz w:val="20"/>
              </w:rPr>
              <w:t xml:space="preserve">4.1.4.</w:t>
            </w:r>
          </w:p>
        </w:tc>
        <w:tc>
          <w:tcPr>
            <w:tcW w:w="10660" w:type="dxa"/>
            <w:tcBorders>
              <w:top w:val="nil"/>
              <w:left w:val="nil"/>
              <w:bottom w:val="nil"/>
              <w:right w:val="nil"/>
            </w:tcBorders>
            <w:shd w:val="clear" w:fill="dce6f1"/>
            <w:vAlign w:val="top"/>
          </w:tcPr>
          <w:p>
            <w:pPr>
              <w:spacing w:before="0" w:after="0" w:line="259" w:lineRule="auto"/>
              <w:ind w:left="0" w:right="0" w:firstLine="2"/>
              <w:jc w:val="left"/>
            </w:pPr>
            <w:r>
              <w:rPr>
                <w:rFonts w:cs="Calibri" w:hAnsi="Calibri" w:eastAsia="Calibri" w:ascii="Calibri"/>
                <w:b w:val="1"/>
                <w:sz w:val="20"/>
              </w:rPr>
              <w:t xml:space="preserve">+Promote+electionAperiod+confidenceA+building+dialogue+between+the+Police+and+EMBs+on+one+hand+and+political+parties+and+CSOs+ on+the+other.++</w:t>
            </w:r>
          </w:p>
        </w:tc>
      </w:tr>
    </w:tbl>
    <w:p>
      <w:pPr>
        <w:tabs>
          <w:tab w:val="center" w:pos="542"/>
          <w:tab w:val="center" w:pos="2840"/>
          <w:tab w:val="center" w:pos="5783"/>
          <w:tab w:val="center" w:pos="7275"/>
          <w:tab w:val="center" w:pos="8674"/>
          <w:tab w:val="center" w:pos="9847"/>
          <w:tab w:val="right" w:pos="12113"/>
        </w:tabs>
        <w:spacing w:before="0" w:after="4" w:line="259" w:lineRule="auto"/>
        <w:ind w:left="0" w:right="0" w:firstLine="0"/>
        <w:jc w:val="left"/>
      </w:pPr>
      <w:r>
        <w:rPr>
          <w:rFonts w:cs="Calibri" w:hAnsi="Calibri" w:eastAsia="Calibri" w:ascii="Calibri"/>
          <w:sz w:val="22"/>
        </w:rPr>
        <w:t xml:space="preserve">	</w:t>
      </w:r>
      <w:r>
        <w:rPr>
          <w:rFonts w:cs="Calibri" w:hAnsi="Calibri" w:eastAsia="Calibri" w:ascii="Calibri"/>
          <w:sz w:val="20"/>
        </w:rPr>
        <w:t xml:space="preserve">A.*	Dialogues*with*various*stakeholders	Meeting*Costs	</w:t>
      </w:r>
      <w:r>
        <w:rPr>
          <w:rFonts w:cs="Calibri" w:hAnsi="Calibri" w:eastAsia="Calibri" w:ascii="Calibri"/>
          <w:sz w:val="20"/>
          <w:u w:val="single" w:color="000000"/>
        </w:rPr>
        <w:t xml:space="preserve">Pool	</w:t>
      </w:r>
      <w:r>
        <w:rPr>
          <w:rFonts w:cs="Calibri" w:hAnsi="Calibri" w:eastAsia="Calibri" w:ascii="Calibri"/>
          <w:sz w:val="20"/>
          <w:u w:val="single" w:color="000000"/>
        </w:rPr>
        <w:t xml:space="preserve">1	$100,000.00	$100,000.00</w:t>
      </w:r>
    </w:p>
    <w:p>
      <w:pPr>
        <w:tabs>
          <w:tab w:val="center" w:pos="9884"/>
          <w:tab w:val="right" w:pos="12113"/>
        </w:tabs>
        <w:spacing w:before="0" w:after="0" w:line="265" w:lineRule="auto"/>
        <w:ind w:left="0" w:right="0" w:firstLine="0"/>
        <w:jc w:val="left"/>
      </w:pPr>
      <w:r>
        <w:rPr>
          <w:rFonts w:cs="Calibri" w:hAnsi="Calibri" w:eastAsia="Calibri" w:ascii="Calibri"/>
          <w:sz w:val="22"/>
        </w:rPr>
        <w:drawing>
          <wp:anchor simplePos="0" relativeHeight="0" locked="0" layoutInCell="1" allowOverlap="1" behindDoc="0">
            <wp:simplePos x="0" y="0"/>
            <wp:positionH relativeFrom="column">
              <wp:posOffset>4445692</wp:posOffset>
            </wp:positionH>
            <wp:positionV relativeFrom="paragraph">
              <wp:posOffset>-3290</wp:posOffset>
            </wp:positionV>
            <wp:extent cx="3167579" cy="10960"/>
            <wp:wrapNone/>
            <wp:docPr id="145849" name="Group 145849"/>
            <wp:cNvGraphicFramePr/>
            <a:graphic>
              <a:graphicData uri="http://schemas.microsoft.com/office/word/2010/wordprocessingGroup">
                <wpg:wgp>
                  <wpg:cNvGrpSpPr/>
                  <wpg:grpSpPr>
                    <a:xfrm>
                      <a:off x="0" y="0"/>
                      <a:ext cx="3167579" cy="10960"/>
                      <a:chOff x="0" y="0"/>
                      <a:chExt cx="3167579" cy="10960"/>
                    </a:xfrm>
                  </wpg:grpSpPr>
                  <wps:wsp>
                    <wps:cNvPr id="172463" name="Shape 172463"/>
                    <wps:cNvSpPr/>
                    <wps:spPr>
                      <a:xfrm>
                        <a:off x="0" y="0"/>
                        <a:ext cx="3167579" cy="10960"/>
                      </a:xfrm>
                      <a:custGeom>
                        <a:pathLst>
                          <a:path w="3167579" h="10960">
                            <a:moveTo>
                              <a:pt x="0" y="0"/>
                            </a:moveTo>
                            <a:lnTo>
                              <a:pt x="3167579" y="0"/>
                            </a:lnTo>
                            <a:lnTo>
                              <a:pt x="3167579"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anchor>
        </w:drawing>
      </w: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$100,000.00</w:t>
      </w:r>
    </w:p>
    <w:tbl>
      <w:tblPr>
        <w:tblStyle w:val="TableGrid"/>
        <w:tblW w:w="11647" w:type="dxa"/>
        <w:tblInd w:w="343" w:type="dxa"/>
        <w:tblCellMar>
          <w:top w:w="0" w:type="dxa"/>
          <w:left w:w="1" w:type="dxa"/>
          <w:bottom w:w="0" w:type="dxa"/>
          <w:right w:w="10" w:type="dxa"/>
        </w:tblCellMar>
      </w:tblPr>
      <w:tblGrid>
        <w:gridCol w:w="987"/>
        <w:gridCol w:w="10660"/>
      </w:tblGrid>
      <w:tr>
        <w:trPr>
          <w:trHeight w:val="505" w:hRule="atLeast"/>
        </w:trPr>
        <w:tc>
          <w:tcPr>
            <w:tcW w:w="987" w:type="dxa"/>
            <w:tcBorders>
              <w:top w:val="nil"/>
              <w:left w:val="nil"/>
              <w:bottom w:val="nil"/>
              <w:right w:val="nil"/>
            </w:tcBorders>
            <w:shd w:val="clear" w:fill="dce6f1"/>
            <w:vAlign w:val="top"/>
          </w:tcPr>
          <w:p>
            <w:pPr>
              <w:spacing w:before="0" w:after="0" w:line="259" w:lineRule="auto"/>
              <w:ind w:left="0" w:right="5" w:firstLine="0"/>
              <w:jc w:val="center"/>
            </w:pPr>
            <w:r>
              <w:rPr>
                <w:rFonts w:cs="Calibri" w:hAnsi="Calibri" w:eastAsia="Calibri" w:ascii="Calibri"/>
                <w:b w:val="1"/>
                <w:sz w:val="20"/>
              </w:rPr>
              <w:t xml:space="preserve">4.1.5.</w:t>
            </w:r>
          </w:p>
        </w:tc>
        <w:tc>
          <w:tcPr>
            <w:tcW w:w="10660" w:type="dxa"/>
            <w:tcBorders>
              <w:top w:val="nil"/>
              <w:left w:val="nil"/>
              <w:bottom w:val="nil"/>
              <w:right w:val="nil"/>
            </w:tcBorders>
            <w:shd w:val="clear" w:fill="dce6f1"/>
            <w:vAlign w:val="top"/>
          </w:tcPr>
          <w:p>
            <w:pPr>
              <w:spacing w:before="0" w:after="0" w:line="259" w:lineRule="auto"/>
              <w:ind w:left="0" w:right="0" w:firstLine="0"/>
              <w:jc w:val="left"/>
            </w:pPr>
            <w:r>
              <w:rPr>
                <w:rFonts w:cs="Calibri" w:hAnsi="Calibri" w:eastAsia="Calibri" w:ascii="Calibri"/>
                <w:b w:val="1"/>
                <w:sz w:val="20"/>
              </w:rPr>
              <w:t xml:space="preserve">+Provide+technical+assistance+to+advice+on+conflict+prevention+and+conflict+transformation+approaches+including+specific+measures+ on+women’s+peace+and+security+in+conflict+situations+</w:t>
            </w:r>
          </w:p>
        </w:tc>
      </w:tr>
    </w:tbl>
    <w:p>
      <w:pPr>
        <w:tabs>
          <w:tab w:val="center" w:pos="1893"/>
          <w:tab w:val="center" w:pos="5937"/>
          <w:tab w:val="center" w:pos="7604"/>
          <w:tab w:val="center" w:pos="8672"/>
          <w:tab w:val="center" w:pos="9900"/>
          <w:tab w:val="right" w:pos="12113"/>
        </w:tabs>
        <w:spacing w:before="0" w:after="4" w:line="259" w:lineRule="auto"/>
        <w:ind w:left="0" w:right="0" w:firstLine="0"/>
        <w:jc w:val="left"/>
      </w:pPr>
      <w:r>
        <w:rPr>
          <w:rFonts w:cs="Calibri" w:hAnsi="Calibri" w:eastAsia="Calibri" w:ascii="Calibri"/>
          <w:sz w:val="22"/>
        </w:rPr>
        <w:t xml:space="preserve">	</w:t>
      </w:r>
      <w:r>
        <w:rPr>
          <w:rFonts w:cs="Calibri" w:hAnsi="Calibri" w:eastAsia="Calibri" w:ascii="Calibri"/>
          <w:sz w:val="20"/>
        </w:rPr>
        <w:t xml:space="preserve">A.**Community*Dialog*Specialist*(P4)	All3inclusive*costs*	Months	</w:t>
      </w:r>
      <w:r>
        <w:rPr>
          <w:rFonts w:cs="Calibri" w:hAnsi="Calibri" w:eastAsia="Calibri" w:ascii="Calibri"/>
          <w:sz w:val="20"/>
        </w:rPr>
        <w:t xml:space="preserve">10	$18,666.47	$186,664.70</w:t>
      </w:r>
    </w:p>
    <w:p>
      <w:pPr>
        <w:tabs>
          <w:tab w:val="center" w:pos="1999"/>
          <w:tab w:val="center" w:pos="5914"/>
          <w:tab w:val="center" w:pos="7604"/>
          <w:tab w:val="center" w:pos="8674"/>
          <w:tab w:val="center" w:pos="9949"/>
          <w:tab w:val="right" w:pos="12113"/>
        </w:tabs>
        <w:spacing w:before="0" w:after="4" w:line="259" w:lineRule="auto"/>
        <w:ind w:left="0" w:right="0" w:firstLine="0"/>
        <w:jc w:val="left"/>
      </w:pPr>
      <w:r>
        <w:rPr>
          <w:rFonts w:cs="Calibri" w:hAnsi="Calibri" w:eastAsia="Calibri" w:ascii="Calibri"/>
          <w:sz w:val="22"/>
        </w:rPr>
        <w:t xml:space="preserve">	</w:t>
      </w:r>
      <w:r>
        <w:rPr>
          <w:rFonts w:cs="Calibri" w:hAnsi="Calibri" w:eastAsia="Calibri" w:ascii="Calibri"/>
          <w:sz w:val="20"/>
        </w:rPr>
        <w:t xml:space="preserve">B.**Community*Dialog*Associate**(NOC)	All3inclusive*costs	Months	</w:t>
      </w:r>
      <w:r>
        <w:rPr>
          <w:rFonts w:cs="Calibri" w:hAnsi="Calibri" w:eastAsia="Calibri" w:ascii="Calibri"/>
          <w:sz w:val="20"/>
        </w:rPr>
        <w:t xml:space="preserve">9	$5,563.52	$50,071.68</w:t>
      </w:r>
    </w:p>
    <w:p>
      <w:pPr>
        <w:spacing w:before="0" w:after="255" w:line="259" w:lineRule="auto"/>
        <w:ind w:left="7001" w:right="0" w:firstLine="0"/>
        <w:jc w:val="left"/>
      </w:pPr>
      <w:r>
        <w:rPr>
          <w:rFonts w:cs="Calibri" w:hAnsi="Calibri" w:eastAsia="Calibri" w:ascii="Calibri"/>
          <w:sz w:val="22"/>
        </w:rPr>
        <w:drawing>
          <wp:inline distT="0" distB="0" distL="0" distR="0">
            <wp:extent cx="3167579" cy="32882"/>
            <wp:docPr id="145850" name="Group 145850"/>
            <wp:cNvGraphicFramePr/>
            <a:graphic>
              <a:graphicData uri="http://schemas.microsoft.com/office/word/2010/wordprocessingGroup">
                <wpg:wgp>
                  <wpg:cNvGrpSpPr/>
                  <wpg:grpSpPr>
                    <a:xfrm>
                      <a:off x="0" y="0"/>
                      <a:ext cx="3167579" cy="32882"/>
                      <a:chOff x="0" y="0"/>
                      <a:chExt cx="3167579" cy="32882"/>
                    </a:xfrm>
                  </wpg:grpSpPr>
                  <wps:wsp>
                    <wps:cNvPr id="172464" name="Shape 172464"/>
                    <wps:cNvSpPr/>
                    <wps:spPr>
                      <a:xfrm>
                        <a:off x="0" y="0"/>
                        <a:ext cx="3167579" cy="10961"/>
                      </a:xfrm>
                      <a:custGeom>
                        <a:pathLst>
                          <a:path w="3167579" h="10961">
                            <a:moveTo>
                              <a:pt x="0" y="0"/>
                            </a:moveTo>
                            <a:lnTo>
                              <a:pt x="3167579" y="0"/>
                            </a:lnTo>
                            <a:lnTo>
                              <a:pt x="3167579" y="10961"/>
                            </a:lnTo>
                            <a:lnTo>
                              <a:pt x="0" y="10961"/>
                            </a:lnTo>
                            <a:lnTo>
                              <a:pt x="0" y="0"/>
                            </a:lnTo>
                          </a:path>
                        </a:pathLst>
                      </a:custGeom>
                      <a:ln w="0" cap="flat">
                        <a:miter lim="127000"/>
                      </a:ln>
                    </wps:spPr>
                    <wps:style>
                      <a:lnRef idx="0">
                        <a:srgbClr val="000000">
                          <a:alpha val="0"/>
                        </a:srgbClr>
                      </a:lnRef>
                      <a:fillRef idx="1">
                        <a:srgbClr val="000000"/>
                      </a:fillRef>
                      <a:effectRef idx="0"/>
                      <a:fontRef idx="none"/>
                    </wps:style>
                    <wps:bodyPr/>
                  </wps:wsp>
                  <wps:wsp>
                    <wps:cNvPr id="172465" name="Shape 172465"/>
                    <wps:cNvSpPr/>
                    <wps:spPr>
                      <a:xfrm>
                        <a:off x="0" y="21922"/>
                        <a:ext cx="3167579" cy="10960"/>
                      </a:xfrm>
                      <a:custGeom>
                        <a:pathLst>
                          <a:path w="3167579" h="10960">
                            <a:moveTo>
                              <a:pt x="0" y="0"/>
                            </a:moveTo>
                            <a:lnTo>
                              <a:pt x="3167579" y="0"/>
                            </a:lnTo>
                            <a:lnTo>
                              <a:pt x="3167579" y="10960"/>
                            </a:lnTo>
                            <a:lnTo>
                              <a:pt x="0" y="10960"/>
                            </a:lnTo>
                            <a:lnTo>
                              <a:pt x="0" y="0"/>
                            </a:lnTo>
                          </a:path>
                        </a:pathLst>
                      </a:custGeom>
                      <a:ln w="0" cap="flat">
                        <a:miter lim="127000"/>
                      </a:ln>
                    </wps:spPr>
                    <wps:style>
                      <a:lnRef idx="0">
                        <a:srgbClr val="000000">
                          <a:alpha val="0"/>
                        </a:srgbClr>
                      </a:lnRef>
                      <a:fillRef idx="1">
                        <a:srgbClr val="000000"/>
                      </a:fillRef>
                      <a:effectRef idx="0"/>
                      <a:fontRef idx="none"/>
                    </wps:style>
                    <wps:bodyPr/>
                  </wps:wsp>
                </wpg:wgp>
              </a:graphicData>
            </a:graphic>
          </wp:inline>
        </w:drawing>
      </w:r>
    </w:p>
    <w:p>
      <w:pPr>
        <w:tabs>
          <w:tab w:val="center" w:pos="9884"/>
          <w:tab w:val="right" w:pos="12113"/>
        </w:tabs>
        <w:spacing w:before="0" w:after="385" w:line="265" w:lineRule="auto"/>
        <w:ind w:left="0" w:right="0" w:firstLine="0"/>
        <w:jc w:val="left"/>
      </w:pPr>
      <w:r>
        <w:rPr>
          <w:rFonts w:cs="Calibri" w:hAnsi="Calibri" w:eastAsia="Calibri" w:ascii="Calibri"/>
          <w:sz w:val="22"/>
        </w:rPr>
        <w:t xml:space="preserve">	</w:t>
      </w:r>
      <w:r>
        <w:rPr>
          <w:rFonts w:cs="Calibri" w:hAnsi="Calibri" w:eastAsia="Calibri" w:ascii="Calibri"/>
          <w:b w:val="1"/>
          <w:sz w:val="20"/>
        </w:rPr>
        <w:t xml:space="preserve">SUBTOTAL:	</w:t>
      </w:r>
      <w:r>
        <w:rPr>
          <w:rFonts w:cs="Calibri" w:hAnsi="Calibri" w:eastAsia="Calibri" w:ascii="Calibri"/>
          <w:b w:val="1"/>
          <w:sz w:val="20"/>
        </w:rPr>
        <w:t xml:space="preserve">$236,736.38</w:t>
      </w:r>
    </w:p>
    <w:p>
      <w:pPr>
        <w:spacing w:before="0" w:after="0" w:line="259" w:lineRule="auto"/>
        <w:ind w:left="219" w:right="0" w:firstLine="0"/>
        <w:jc w:val="center"/>
      </w:pPr>
      <w:r>
        <w:rPr>
          <w:rFonts w:cs="Calibri" w:hAnsi="Calibri" w:eastAsia="Calibri" w:ascii="Calibri"/>
          <w:sz w:val="20"/>
        </w:rPr>
        <w:t xml:space="preserve">1*OF*2</w:t>
      </w:r>
    </w:p>
    <w:tbl>
      <w:tblPr>
        <w:tblStyle w:val="TableGrid"/>
        <w:tblW w:w="11642" w:type="dxa"/>
        <w:tblInd w:w="343" w:type="dxa"/>
        <w:tblCellMar>
          <w:top w:w="0" w:type="dxa"/>
          <w:left w:w="115" w:type="dxa"/>
          <w:bottom w:w="0" w:type="dxa"/>
          <w:right w:w="35" w:type="dxa"/>
        </w:tblCellMar>
      </w:tblPr>
      <w:tblGrid>
        <w:gridCol w:w="10041"/>
        <w:gridCol w:w="1601"/>
      </w:tblGrid>
      <w:tr>
        <w:trPr>
          <w:trHeight w:val="268" w:hRule="atLeast"/>
        </w:trPr>
        <w:tc>
          <w:tcPr>
            <w:tcW w:w="10041" w:type="dxa"/>
            <w:tcBorders>
              <w:top w:val="single" w:sz="14" w:color="000000"/>
              <w:left w:val="single" w:sz="14" w:color="000000"/>
              <w:bottom w:val="single" w:sz="14" w:color="000000"/>
              <w:right w:val="single" w:sz="14" w:color="000000"/>
            </w:tcBorders>
            <w:shd w:val="clear" w:fill="f3dcda"/>
            <w:vAlign w:val="top"/>
          </w:tcPr>
          <w:p>
            <w:pPr>
              <w:spacing w:before="0" w:after="0" w:line="259" w:lineRule="auto"/>
              <w:ind w:left="0" w:right="58" w:firstLine="0"/>
              <w:jc w:val="right"/>
            </w:pPr>
            <w:r>
              <w:rPr>
                <w:rFonts w:cs="Calibri" w:hAnsi="Calibri" w:eastAsia="Calibri" w:ascii="Calibri"/>
                <w:b w:val="1"/>
                <w:sz w:val="20"/>
              </w:rPr>
              <w:t xml:space="preserve">TOTAL+ESTIMATED+COMPONENT/OUTPUT+COSTS+2013A2014:</w:t>
            </w:r>
          </w:p>
        </w:tc>
        <w:tc>
          <w:tcPr>
            <w:tcW w:w="1601" w:type="dxa"/>
            <w:tcBorders>
              <w:top w:val="single" w:sz="14" w:color="000000"/>
              <w:left w:val="single" w:sz="14" w:color="000000"/>
              <w:bottom w:val="single" w:sz="14" w:color="000000"/>
              <w:right w:val="single" w:sz="14" w:color="000000"/>
            </w:tcBorders>
            <w:shd w:val="clear" w:fill="f3dcda"/>
            <w:vAlign w:val="top"/>
          </w:tcPr>
          <w:p>
            <w:pPr>
              <w:spacing w:before="0" w:after="0" w:line="259" w:lineRule="auto"/>
              <w:ind w:left="0" w:right="0" w:firstLine="0"/>
              <w:jc w:val="right"/>
            </w:pPr>
            <w:r>
              <w:rPr>
                <w:rFonts w:cs="Calibri" w:hAnsi="Calibri" w:eastAsia="Calibri" w:ascii="Calibri"/>
                <w:b w:val="1"/>
                <w:sz w:val="20"/>
              </w:rPr>
              <w:t xml:space="preserve">$501,956.38</w:t>
            </w:r>
          </w:p>
        </w:tc>
      </w:tr>
    </w:tbl>
    <w:p>
      <w:pPr>
        <w:spacing w:before="0" w:after="4" w:line="259" w:lineRule="auto"/>
        <w:ind w:left="5919" w:right="0"/>
        <w:jc w:val="left"/>
      </w:pPr>
      <w:r>
        <w:rPr>
          <w:rFonts w:cs="Calibri" w:hAnsi="Calibri" w:eastAsia="Calibri" w:ascii="Calibri"/>
          <w:sz w:val="20"/>
        </w:rPr>
        <w:t xml:space="preserve">2*OF*2</w:t>
      </w:r>
    </w:p>
    <w:tbl>
      <w:tblPr>
        <w:tblStyle w:val="TableGrid"/>
        <w:tblW w:w="12312" w:type="dxa"/>
        <w:tblInd w:w="-30" w:type="dxa"/>
        <w:tblCellMar>
          <w:top w:w="0" w:type="dxa"/>
          <w:left w:w="0" w:type="dxa"/>
          <w:bottom w:w="0" w:type="dxa"/>
          <w:right w:w="23" w:type="dxa"/>
        </w:tblCellMar>
      </w:tblPr>
      <w:tblGrid>
        <w:gridCol w:w="2866"/>
        <w:gridCol w:w="3721"/>
        <w:gridCol w:w="1722"/>
        <w:gridCol w:w="1439"/>
        <w:gridCol w:w="1542"/>
        <w:gridCol w:w="1021"/>
      </w:tblGrid>
      <w:tr>
        <w:trPr>
          <w:trHeight w:val="252" w:hRule="atLeast"/>
        </w:trPr>
        <w:tc>
          <w:tcPr>
            <w:tcW w:w="6587" w:type="dxa"/>
            <w:gridSpan w:val="2"/>
            <w:tcBorders>
              <w:top w:val="nil"/>
              <w:left w:val="nil"/>
              <w:bottom w:val="nil"/>
              <w:right w:val="nil"/>
            </w:tcBorders>
            <w:shd w:val="clear" w:fill="eaf1dd"/>
            <w:vAlign w:val="top"/>
          </w:tcPr>
          <w:p>
            <w:pPr>
              <w:tabs>
                <w:tab w:val="center" w:pos="3456"/>
              </w:tabs>
              <w:spacing w:before="0" w:after="0" w:line="259" w:lineRule="auto"/>
              <w:ind w:left="0" w:right="0" w:firstLine="0"/>
              <w:jc w:val="left"/>
            </w:pPr>
            <w:r>
              <w:rPr>
                <w:rFonts w:cs="Calibri" w:hAnsi="Calibri" w:eastAsia="Calibri" w:ascii="Calibri"/>
                <w:b w:val="1"/>
                <w:sz w:val="20"/>
              </w:rPr>
              <w:t xml:space="preserve">COMPONENT(5:((	PROJECT(MANANGEMENT(SERVICES</w:t>
            </w:r>
          </w:p>
        </w:tc>
        <w:tc>
          <w:tcPr>
            <w:tcW w:w="1722" w:type="dxa"/>
            <w:tcBorders>
              <w:top w:val="nil"/>
              <w:left w:val="nil"/>
              <w:bottom w:val="nil"/>
              <w:right w:val="nil"/>
            </w:tcBorders>
            <w:shd w:val="clear" w:fill="eaf1dd"/>
            <w:vAlign w:val="top"/>
          </w:tcPr>
          <w:p>
            <w:pPr>
              <w:bidi w:val="0"/>
              <w:spacing w:before="0" w:after="160" w:line="259" w:lineRule="auto"/>
              <w:ind w:left="0" w:right="0" w:firstLine="0"/>
              <w:jc w:val="left"/>
            </w:pPr>
          </w:p>
        </w:tc>
        <w:tc>
          <w:tcPr>
            <w:tcW w:w="1439" w:type="dxa"/>
            <w:tcBorders>
              <w:top w:val="nil"/>
              <w:left w:val="nil"/>
              <w:bottom w:val="nil"/>
              <w:right w:val="nil"/>
            </w:tcBorders>
            <w:shd w:val="clear" w:fill="eaf1dd"/>
            <w:vAlign w:val="top"/>
          </w:tcPr>
          <w:p>
            <w:pPr>
              <w:bidi w:val="0"/>
              <w:spacing w:before="0" w:after="160" w:line="259" w:lineRule="auto"/>
              <w:ind w:left="0" w:right="0" w:firstLine="0"/>
              <w:jc w:val="left"/>
            </w:pPr>
          </w:p>
        </w:tc>
        <w:tc>
          <w:tcPr>
            <w:tcW w:w="1542" w:type="dxa"/>
            <w:tcBorders>
              <w:top w:val="nil"/>
              <w:left w:val="nil"/>
              <w:bottom w:val="nil"/>
              <w:right w:val="nil"/>
            </w:tcBorders>
            <w:shd w:val="clear" w:fill="eaf1dd"/>
            <w:vAlign w:val="top"/>
          </w:tcPr>
          <w:p>
            <w:pPr>
              <w:bidi w:val="0"/>
              <w:spacing w:before="0" w:after="160" w:line="259" w:lineRule="auto"/>
              <w:ind w:left="0" w:right="0" w:firstLine="0"/>
              <w:jc w:val="left"/>
            </w:pPr>
          </w:p>
        </w:tc>
        <w:tc>
          <w:tcPr>
            <w:tcW w:w="1021" w:type="dxa"/>
            <w:tcBorders>
              <w:top w:val="nil"/>
              <w:left w:val="nil"/>
              <w:bottom w:val="nil"/>
              <w:right w:val="nil"/>
            </w:tcBorders>
            <w:shd w:val="clear" w:fill="eaf1dd"/>
            <w:vAlign w:val="top"/>
          </w:tcPr>
          <w:p>
            <w:pPr>
              <w:bidi w:val="0"/>
              <w:spacing w:before="0" w:after="160" w:line="259" w:lineRule="auto"/>
              <w:ind w:left="0" w:right="0" w:firstLine="0"/>
              <w:jc w:val="left"/>
            </w:pPr>
          </w:p>
        </w:tc>
      </w:tr>
      <w:tr>
        <w:trPr>
          <w:trHeight w:val="98" w:hRule="atLeast"/>
        </w:trPr>
        <w:tc>
          <w:tcPr>
            <w:tcW w:w="6587" w:type="dxa"/>
            <w:gridSpan w:val="2"/>
            <w:tcBorders>
              <w:top w:val="nil"/>
              <w:left w:val="nil"/>
              <w:bottom w:val="nil"/>
              <w:right w:val="nil"/>
            </w:tcBorders>
            <w:vAlign w:val="top"/>
          </w:tcPr>
          <w:p>
            <w:pPr>
              <w:bidi w:val="0"/>
              <w:spacing w:before="0" w:after="160" w:line="259" w:lineRule="auto"/>
              <w:ind w:left="0" w:right="0" w:firstLine="0"/>
              <w:jc w:val="left"/>
            </w:pPr>
          </w:p>
        </w:tc>
        <w:tc>
          <w:tcPr>
            <w:tcW w:w="1722" w:type="dxa"/>
            <w:tcBorders>
              <w:top w:val="nil"/>
              <w:left w:val="nil"/>
              <w:bottom w:val="nil"/>
              <w:right w:val="nil"/>
            </w:tcBorders>
            <w:vAlign w:val="top"/>
          </w:tcPr>
          <w:p>
            <w:pPr>
              <w:bidi w:val="0"/>
              <w:spacing w:before="0" w:after="160" w:line="259" w:lineRule="auto"/>
              <w:ind w:left="0" w:right="0" w:firstLine="0"/>
              <w:jc w:val="left"/>
            </w:pPr>
          </w:p>
        </w:tc>
        <w:tc>
          <w:tcPr>
            <w:tcW w:w="1439" w:type="dxa"/>
            <w:tcBorders>
              <w:top w:val="nil"/>
              <w:left w:val="nil"/>
              <w:bottom w:val="nil"/>
              <w:right w:val="nil"/>
            </w:tcBorders>
            <w:vAlign w:val="top"/>
          </w:tcPr>
          <w:p>
            <w:pPr>
              <w:bidi w:val="0"/>
              <w:spacing w:before="0" w:after="160" w:line="259" w:lineRule="auto"/>
              <w:ind w:left="0" w:right="0" w:firstLine="0"/>
              <w:jc w:val="left"/>
            </w:pPr>
          </w:p>
        </w:tc>
        <w:tc>
          <w:tcPr>
            <w:tcW w:w="1542" w:type="dxa"/>
            <w:tcBorders>
              <w:top w:val="nil"/>
              <w:left w:val="nil"/>
              <w:bottom w:val="nil"/>
              <w:right w:val="nil"/>
            </w:tcBorders>
            <w:vAlign w:val="top"/>
          </w:tcPr>
          <w:p>
            <w:pPr>
              <w:bidi w:val="0"/>
              <w:spacing w:before="0" w:after="160" w:line="259" w:lineRule="auto"/>
              <w:ind w:left="0" w:right="0" w:firstLine="0"/>
              <w:jc w:val="left"/>
            </w:pPr>
          </w:p>
        </w:tc>
        <w:tc>
          <w:tcPr>
            <w:tcW w:w="1021" w:type="dxa"/>
            <w:tcBorders>
              <w:top w:val="nil"/>
              <w:left w:val="nil"/>
              <w:bottom w:val="nil"/>
              <w:right w:val="nil"/>
            </w:tcBorders>
            <w:vAlign w:val="top"/>
          </w:tcPr>
          <w:p>
            <w:pPr>
              <w:bidi w:val="0"/>
              <w:spacing w:before="0" w:after="160" w:line="259" w:lineRule="auto"/>
              <w:ind w:left="0" w:right="0" w:firstLine="0"/>
              <w:jc w:val="left"/>
            </w:pPr>
          </w:p>
        </w:tc>
      </w:tr>
      <w:tr>
        <w:trPr>
          <w:trHeight w:val="252" w:hRule="atLeast"/>
        </w:trPr>
        <w:tc>
          <w:tcPr>
            <w:tcW w:w="6587" w:type="dxa"/>
            <w:gridSpan w:val="2"/>
            <w:tcBorders>
              <w:top w:val="nil"/>
              <w:left w:val="nil"/>
              <w:bottom w:val="nil"/>
              <w:right w:val="nil"/>
            </w:tcBorders>
            <w:shd w:val="clear" w:fill="dce6f1"/>
            <w:vAlign w:val="top"/>
          </w:tcPr>
          <w:p>
            <w:pPr>
              <w:tabs>
                <w:tab w:val="center" w:pos="2784"/>
              </w:tabs>
              <w:spacing w:before="0" w:after="0" w:line="259" w:lineRule="auto"/>
              <w:ind w:left="0" w:right="0" w:firstLine="0"/>
              <w:jc w:val="left"/>
            </w:pPr>
            <w:r>
              <w:rPr>
                <w:rFonts w:cs="Calibri" w:hAnsi="Calibri" w:eastAsia="Calibri" w:ascii="Calibri"/>
                <w:b w:val="1"/>
                <w:sz w:val="20"/>
              </w:rPr>
              <w:t xml:space="preserve">Output(1:	Project(managed(effectively(and(efficiently</w:t>
            </w:r>
          </w:p>
        </w:tc>
        <w:tc>
          <w:tcPr>
            <w:tcW w:w="172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439"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54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021"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3687" w:hRule="atLeast"/>
        </w:trPr>
        <w:tc>
          <w:tcPr>
            <w:tcW w:w="2866" w:type="dxa"/>
            <w:tcBorders>
              <w:top w:val="nil"/>
              <w:left w:val="nil"/>
              <w:bottom w:val="nil"/>
              <w:right w:val="nil"/>
            </w:tcBorders>
            <w:vAlign w:val="top"/>
          </w:tcPr>
          <w:p>
            <w:pPr>
              <w:spacing w:before="0" w:after="0" w:line="259" w:lineRule="auto"/>
              <w:ind w:left="34" w:right="0" w:firstLine="0"/>
              <w:jc w:val="left"/>
            </w:pPr>
            <w:r>
              <w:rPr>
                <w:rFonts w:cs="Calibri" w:hAnsi="Calibri" w:eastAsia="Calibri" w:ascii="Calibri"/>
                <w:b w:val="1"/>
                <w:sz w:val="20"/>
              </w:rPr>
              <w:t xml:space="preserve">(A.((Project(Management(set(up( and(facilities((</w:t>
            </w:r>
          </w:p>
        </w:tc>
        <w:tc>
          <w:tcPr>
            <w:tcW w:w="3721" w:type="dxa"/>
            <w:tcBorders>
              <w:top w:val="nil"/>
              <w:left w:val="nil"/>
              <w:bottom w:val="nil"/>
              <w:right w:val="nil"/>
            </w:tcBorders>
            <w:vAlign w:val="top"/>
          </w:tcPr>
          <w:p>
            <w:pPr>
              <w:spacing w:before="0" w:after="0" w:line="259" w:lineRule="auto"/>
              <w:ind w:left="60" w:right="0" w:firstLine="0"/>
              <w:jc w:val="left"/>
            </w:pPr>
            <w:r>
              <w:rPr>
                <w:rFonts w:cs="Calibri" w:hAnsi="Calibri" w:eastAsia="Calibri" w:ascii="Calibri"/>
                <w:sz w:val="20"/>
              </w:rPr>
              <w:t xml:space="preserve">Office*Rent*3*DSM</w:t>
            </w:r>
          </w:p>
          <w:p>
            <w:pPr>
              <w:spacing w:before="0" w:after="14" w:line="259" w:lineRule="auto"/>
              <w:ind w:left="0" w:right="0" w:firstLine="0"/>
              <w:jc w:val="left"/>
            </w:pPr>
            <w:r>
              <w:rPr>
                <w:rFonts w:cs="Calibri" w:hAnsi="Calibri" w:eastAsia="Calibri" w:ascii="Calibri"/>
                <w:sz w:val="20"/>
              </w:rPr>
              <w:t xml:space="preserve">*Security*Services*3*Dar*es*Salaam*</w:t>
            </w:r>
          </w:p>
          <w:p>
            <w:pPr>
              <w:spacing w:before="0" w:after="0" w:line="259" w:lineRule="auto"/>
              <w:ind w:left="0" w:right="0" w:firstLine="0"/>
              <w:jc w:val="left"/>
            </w:pPr>
            <w:r>
              <w:rPr>
                <w:rFonts w:cs="Calibri" w:hAnsi="Calibri" w:eastAsia="Calibri" w:ascii="Calibri"/>
                <w:sz w:val="20"/>
              </w:rPr>
              <w:t xml:space="preserve">*Utilities*3*Fuel*&amp;*Maintenance/Stand3by*</w:t>
            </w:r>
          </w:p>
          <w:p>
            <w:pPr>
              <w:spacing w:before="0" w:after="0" w:line="259" w:lineRule="auto"/>
              <w:ind w:left="0" w:right="0" w:firstLine="0"/>
              <w:jc w:val="left"/>
            </w:pPr>
            <w:r>
              <w:rPr>
                <w:rFonts w:cs="Calibri" w:hAnsi="Calibri" w:eastAsia="Calibri" w:ascii="Calibri"/>
                <w:sz w:val="20"/>
              </w:rPr>
              <w:t xml:space="preserve">Generator*</w:t>
            </w:r>
          </w:p>
          <w:p>
            <w:pPr>
              <w:spacing w:before="0" w:after="0" w:line="259" w:lineRule="auto"/>
              <w:ind w:left="60" w:right="0" w:firstLine="0"/>
              <w:jc w:val="left"/>
            </w:pPr>
            <w:r>
              <w:rPr>
                <w:rFonts w:cs="Calibri" w:hAnsi="Calibri" w:eastAsia="Calibri" w:ascii="Calibri"/>
                <w:sz w:val="20"/>
              </w:rPr>
              <w:t xml:space="preserve">Utilities*3*Electricity</w:t>
            </w:r>
          </w:p>
          <w:p>
            <w:pPr>
              <w:spacing w:before="0" w:after="130" w:line="259" w:lineRule="auto"/>
              <w:ind w:left="0" w:right="0" w:firstLine="0"/>
              <w:jc w:val="left"/>
            </w:pPr>
            <w:r>
              <w:rPr>
                <w:rFonts w:cs="Calibri" w:hAnsi="Calibri" w:eastAsia="Calibri" w:ascii="Calibri"/>
                <w:sz w:val="20"/>
              </w:rPr>
              <w:t xml:space="preserve">*Communications*3*Cell*Phone*Service*</w:t>
            </w:r>
          </w:p>
          <w:p>
            <w:pPr>
              <w:spacing w:before="0" w:after="121" w:line="259" w:lineRule="auto"/>
              <w:ind w:left="0" w:right="0" w:firstLine="0"/>
              <w:jc w:val="left"/>
            </w:pPr>
            <w:r>
              <w:rPr>
                <w:rFonts w:cs="Calibri" w:hAnsi="Calibri" w:eastAsia="Calibri" w:ascii="Calibri"/>
                <w:sz w:val="20"/>
              </w:rPr>
              <w:t xml:space="preserve">*Communications*3*Smart*Phone*Service*</w:t>
            </w:r>
          </w:p>
          <w:p>
            <w:pPr>
              <w:spacing w:before="0" w:after="0" w:line="259" w:lineRule="auto"/>
              <w:ind w:left="60" w:right="0" w:firstLine="0"/>
              <w:jc w:val="left"/>
            </w:pPr>
            <w:r>
              <w:rPr>
                <w:rFonts w:cs="Calibri" w:hAnsi="Calibri" w:eastAsia="Calibri" w:ascii="Calibri"/>
                <w:sz w:val="20"/>
              </w:rPr>
              <w:t xml:space="preserve">Internet*Services</w:t>
            </w:r>
          </w:p>
          <w:p>
            <w:pPr>
              <w:spacing w:before="0" w:after="6" w:line="259" w:lineRule="auto"/>
              <w:ind w:left="60" w:right="0" w:firstLine="0"/>
              <w:jc w:val="left"/>
            </w:pPr>
            <w:r>
              <w:rPr>
                <w:rFonts w:cs="Calibri" w:hAnsi="Calibri" w:eastAsia="Calibri" w:ascii="Calibri"/>
                <w:sz w:val="20"/>
              </w:rPr>
              <w:t xml:space="preserve">Vehicles3*Fuel*&amp;*Maintenance</w:t>
            </w:r>
          </w:p>
          <w:p>
            <w:pPr>
              <w:spacing w:before="0" w:after="2" w:line="259" w:lineRule="auto"/>
              <w:ind w:left="0" w:right="0" w:firstLine="0"/>
              <w:jc w:val="left"/>
            </w:pPr>
            <w:r>
              <w:rPr>
                <w:rFonts w:cs="Calibri" w:hAnsi="Calibri" w:eastAsia="Calibri" w:ascii="Calibri"/>
                <w:sz w:val="20"/>
              </w:rPr>
              <w:t xml:space="preserve">*Vehicles3*Registration*&amp;*Insurance*</w:t>
            </w:r>
          </w:p>
          <w:p>
            <w:pPr>
              <w:spacing w:before="0" w:after="0" w:line="259" w:lineRule="auto"/>
              <w:ind w:left="60" w:right="0" w:firstLine="0"/>
              <w:jc w:val="left"/>
            </w:pPr>
            <w:r>
              <w:rPr>
                <w:rFonts w:cs="Calibri" w:hAnsi="Calibri" w:eastAsia="Calibri" w:ascii="Calibri"/>
                <w:sz w:val="20"/>
              </w:rPr>
              <w:t xml:space="preserve">Printer*Toner</w:t>
            </w:r>
          </w:p>
          <w:p>
            <w:pPr>
              <w:spacing w:before="0" w:after="0" w:line="259" w:lineRule="auto"/>
              <w:ind w:left="60" w:right="0" w:firstLine="0"/>
              <w:jc w:val="left"/>
            </w:pPr>
            <w:r>
              <w:rPr>
                <w:rFonts w:cs="Calibri" w:hAnsi="Calibri" w:eastAsia="Calibri" w:ascii="Calibri"/>
                <w:sz w:val="20"/>
              </w:rPr>
              <w:t xml:space="preserve">Printer*Paper</w:t>
            </w:r>
          </w:p>
          <w:p>
            <w:pPr>
              <w:spacing w:before="0" w:after="0" w:line="259" w:lineRule="auto"/>
              <w:ind w:left="60" w:right="0" w:firstLine="0"/>
              <w:jc w:val="left"/>
            </w:pPr>
            <w:r>
              <w:rPr>
                <w:rFonts w:cs="Calibri" w:hAnsi="Calibri" w:eastAsia="Calibri" w:ascii="Calibri"/>
                <w:sz w:val="20"/>
              </w:rPr>
              <w:t xml:space="preserve">Misc.*Supplies</w:t>
            </w:r>
          </w:p>
        </w:tc>
        <w:tc>
          <w:tcPr>
            <w:tcW w:w="1722" w:type="dxa"/>
            <w:tcBorders>
              <w:top w:val="nil"/>
              <w:left w:val="nil"/>
              <w:bottom w:val="double" w:sz="7" w:color="000000"/>
              <w:right w:val="nil"/>
            </w:tcBorders>
            <w:vAlign w:val="top"/>
          </w:tcPr>
          <w:p>
            <w:pPr>
              <w:spacing w:before="0" w:after="6" w:line="259" w:lineRule="auto"/>
              <w:ind w:left="0" w:right="0" w:firstLine="0"/>
              <w:jc w:val="left"/>
            </w:pPr>
            <w:r>
              <w:rPr>
                <w:rFonts w:cs="Calibri" w:hAnsi="Calibri" w:eastAsia="Calibri" w:ascii="Calibri"/>
                <w:sz w:val="20"/>
              </w:rPr>
              <w:t xml:space="preserve">Mos.</w:t>
            </w:r>
          </w:p>
          <w:p>
            <w:pPr>
              <w:spacing w:before="0" w:after="6" w:line="259" w:lineRule="auto"/>
              <w:ind w:left="0" w:right="0" w:firstLine="0"/>
              <w:jc w:val="left"/>
            </w:pPr>
            <w:r>
              <w:rPr>
                <w:rFonts w:cs="Calibri" w:hAnsi="Calibri" w:eastAsia="Calibri" w:ascii="Calibri"/>
                <w:sz w:val="20"/>
              </w:rPr>
              <w:t xml:space="preserve">Mos.</w:t>
            </w:r>
          </w:p>
          <w:p>
            <w:pPr>
              <w:spacing w:before="0" w:after="236"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6" w:line="259" w:lineRule="auto"/>
              <w:ind w:left="0" w:right="0" w:firstLine="0"/>
              <w:jc w:val="left"/>
            </w:pPr>
            <w:r>
              <w:rPr>
                <w:rFonts w:cs="Calibri" w:hAnsi="Calibri" w:eastAsia="Calibri" w:ascii="Calibri"/>
                <w:sz w:val="20"/>
              </w:rPr>
              <w:t xml:space="preserve">Mos.</w:t>
            </w:r>
          </w:p>
          <w:p>
            <w:pPr>
              <w:spacing w:before="0" w:after="245" w:line="259" w:lineRule="auto"/>
              <w:ind w:left="0" w:right="0" w:firstLine="0"/>
              <w:jc w:val="left"/>
            </w:pPr>
            <w:r>
              <w:rPr>
                <w:rFonts w:cs="Calibri" w:hAnsi="Calibri" w:eastAsia="Calibri" w:ascii="Calibri"/>
                <w:sz w:val="20"/>
              </w:rPr>
              <w:t xml:space="preserve">Mos.</w:t>
            </w:r>
          </w:p>
          <w:p>
            <w:pPr>
              <w:spacing w:before="0" w:after="6"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21" w:right="0" w:firstLine="0"/>
              <w:jc w:val="left"/>
            </w:pPr>
            <w:r>
              <w:rPr>
                <w:rFonts w:cs="Calibri" w:hAnsi="Calibri" w:eastAsia="Calibri" w:ascii="Calibri"/>
                <w:sz w:val="20"/>
              </w:rPr>
              <w:t xml:space="preserve">Pool</w:t>
            </w:r>
          </w:p>
          <w:p>
            <w:pPr>
              <w:spacing w:before="0" w:after="0" w:line="259" w:lineRule="auto"/>
              <w:ind w:left="21" w:right="0" w:firstLine="0"/>
              <w:jc w:val="left"/>
            </w:pPr>
            <w:r>
              <w:rPr>
                <w:rFonts w:cs="Calibri" w:hAnsi="Calibri" w:eastAsia="Calibri" w:ascii="Calibri"/>
                <w:sz w:val="20"/>
              </w:rPr>
              <w:t xml:space="preserve">Pool</w:t>
            </w:r>
          </w:p>
          <w:p>
            <w:pPr>
              <w:spacing w:before="0" w:after="0" w:line="259" w:lineRule="auto"/>
              <w:ind w:left="21" w:right="0" w:firstLine="0"/>
              <w:jc w:val="left"/>
            </w:pPr>
            <w:r>
              <w:rPr>
                <w:rFonts w:cs="Calibri" w:hAnsi="Calibri" w:eastAsia="Calibri" w:ascii="Calibri"/>
                <w:sz w:val="20"/>
              </w:rPr>
              <w:t xml:space="preserve">Pool</w:t>
            </w:r>
          </w:p>
        </w:tc>
        <w:tc>
          <w:tcPr>
            <w:tcW w:w="1439" w:type="dxa"/>
            <w:tcBorders>
              <w:top w:val="nil"/>
              <w:left w:val="nil"/>
              <w:bottom w:val="double" w:sz="7" w:color="000000"/>
              <w:right w:val="nil"/>
            </w:tcBorders>
            <w:vAlign w:val="top"/>
          </w:tcPr>
          <w:p>
            <w:pPr>
              <w:spacing w:before="0" w:after="6" w:line="259" w:lineRule="auto"/>
              <w:ind w:left="51" w:right="0" w:firstLine="0"/>
              <w:jc w:val="left"/>
            </w:pPr>
            <w:r>
              <w:rPr>
                <w:rFonts w:cs="Calibri" w:hAnsi="Calibri" w:eastAsia="Calibri" w:ascii="Calibri"/>
                <w:sz w:val="20"/>
              </w:rPr>
              <w:t xml:space="preserve">12</w:t>
            </w:r>
          </w:p>
          <w:p>
            <w:pPr>
              <w:spacing w:before="0" w:after="6" w:line="259" w:lineRule="auto"/>
              <w:ind w:left="51" w:right="0" w:firstLine="0"/>
              <w:jc w:val="left"/>
            </w:pPr>
            <w:r>
              <w:rPr>
                <w:rFonts w:cs="Calibri" w:hAnsi="Calibri" w:eastAsia="Calibri" w:ascii="Calibri"/>
                <w:sz w:val="20"/>
              </w:rPr>
              <w:t xml:space="preserve">12</w:t>
            </w:r>
          </w:p>
          <w:p>
            <w:pPr>
              <w:spacing w:before="0" w:after="236" w:line="259" w:lineRule="auto"/>
              <w:ind w:left="51" w:right="0" w:firstLine="0"/>
              <w:jc w:val="left"/>
            </w:pPr>
            <w:r>
              <w:rPr>
                <w:rFonts w:cs="Calibri" w:hAnsi="Calibri" w:eastAsia="Calibri" w:ascii="Calibri"/>
                <w:sz w:val="20"/>
              </w:rPr>
              <w:t xml:space="preserve">12</w:t>
            </w:r>
          </w:p>
          <w:p>
            <w:pPr>
              <w:spacing w:before="0" w:after="0" w:line="259" w:lineRule="auto"/>
              <w:ind w:left="51" w:right="0" w:firstLine="0"/>
              <w:jc w:val="left"/>
            </w:pPr>
            <w:r>
              <w:rPr>
                <w:rFonts w:cs="Calibri" w:hAnsi="Calibri" w:eastAsia="Calibri" w:ascii="Calibri"/>
                <w:sz w:val="20"/>
              </w:rPr>
              <w:t xml:space="preserve">12</w:t>
            </w:r>
          </w:p>
          <w:p>
            <w:pPr>
              <w:spacing w:before="0" w:after="6" w:line="259" w:lineRule="auto"/>
              <w:ind w:left="51" w:right="0" w:firstLine="0"/>
              <w:jc w:val="left"/>
            </w:pPr>
            <w:r>
              <w:rPr>
                <w:rFonts w:cs="Calibri" w:hAnsi="Calibri" w:eastAsia="Calibri" w:ascii="Calibri"/>
                <w:sz w:val="20"/>
              </w:rPr>
              <w:t xml:space="preserve">90</w:t>
            </w:r>
          </w:p>
          <w:p>
            <w:pPr>
              <w:spacing w:before="0" w:after="245" w:line="259" w:lineRule="auto"/>
              <w:ind w:left="0" w:right="0" w:firstLine="0"/>
              <w:jc w:val="left"/>
            </w:pPr>
            <w:r>
              <w:rPr>
                <w:rFonts w:cs="Calibri" w:hAnsi="Calibri" w:eastAsia="Calibri" w:ascii="Calibri"/>
                <w:sz w:val="20"/>
              </w:rPr>
              <w:t xml:space="preserve">130</w:t>
            </w:r>
          </w:p>
          <w:p>
            <w:pPr>
              <w:spacing w:before="0" w:after="6" w:line="259" w:lineRule="auto"/>
              <w:ind w:left="51" w:right="0" w:firstLine="0"/>
              <w:jc w:val="left"/>
            </w:pPr>
            <w:r>
              <w:rPr>
                <w:rFonts w:cs="Calibri" w:hAnsi="Calibri" w:eastAsia="Calibri" w:ascii="Calibri"/>
                <w:sz w:val="20"/>
              </w:rPr>
              <w:t xml:space="preserve">10</w:t>
            </w:r>
          </w:p>
          <w:p>
            <w:pPr>
              <w:spacing w:before="0" w:after="0" w:line="259" w:lineRule="auto"/>
              <w:ind w:left="51" w:right="0" w:firstLine="0"/>
              <w:jc w:val="left"/>
            </w:pPr>
            <w:r>
              <w:rPr>
                <w:rFonts w:cs="Calibri" w:hAnsi="Calibri" w:eastAsia="Calibri" w:ascii="Calibri"/>
                <w:sz w:val="20"/>
              </w:rPr>
              <w:t xml:space="preserve">10</w:t>
            </w:r>
          </w:p>
          <w:p>
            <w:pPr>
              <w:spacing w:before="0" w:after="0" w:line="259" w:lineRule="auto"/>
              <w:ind w:left="103" w:right="0" w:firstLine="0"/>
              <w:jc w:val="left"/>
            </w:pPr>
            <w:r>
              <w:rPr>
                <w:rFonts w:cs="Calibri" w:hAnsi="Calibri" w:eastAsia="Calibri" w:ascii="Calibri"/>
                <w:sz w:val="20"/>
              </w:rPr>
              <w:t xml:space="preserve">3</w:t>
            </w:r>
          </w:p>
          <w:p>
            <w:pPr>
              <w:spacing w:before="0" w:after="0" w:line="259" w:lineRule="auto"/>
              <w:ind w:left="103" w:right="0" w:firstLine="0"/>
              <w:jc w:val="left"/>
            </w:pPr>
            <w:r>
              <w:rPr>
                <w:rFonts w:cs="Calibri" w:hAnsi="Calibri" w:eastAsia="Calibri" w:ascii="Calibri"/>
                <w:sz w:val="20"/>
              </w:rPr>
              <w:t xml:space="preserve">1</w:t>
            </w:r>
          </w:p>
          <w:p>
            <w:pPr>
              <w:spacing w:before="0" w:after="0" w:line="259" w:lineRule="auto"/>
              <w:ind w:left="103" w:right="0" w:firstLine="0"/>
              <w:jc w:val="left"/>
            </w:pPr>
            <w:r>
              <w:rPr>
                <w:rFonts w:cs="Calibri" w:hAnsi="Calibri" w:eastAsia="Calibri" w:ascii="Calibri"/>
                <w:sz w:val="20"/>
              </w:rPr>
              <w:t xml:space="preserve">1</w:t>
            </w:r>
          </w:p>
          <w:p>
            <w:pPr>
              <w:spacing w:before="0" w:after="0" w:line="259" w:lineRule="auto"/>
              <w:ind w:left="103" w:right="0" w:firstLine="0"/>
              <w:jc w:val="left"/>
            </w:pPr>
            <w:r>
              <w:rPr>
                <w:rFonts w:cs="Calibri" w:hAnsi="Calibri" w:eastAsia="Calibri" w:ascii="Calibri"/>
                <w:sz w:val="20"/>
              </w:rPr>
              <w:t xml:space="preserve">1</w:t>
            </w:r>
          </w:p>
        </w:tc>
        <w:tc>
          <w:tcPr>
            <w:tcW w:w="1542" w:type="dxa"/>
            <w:tcBorders>
              <w:top w:val="nil"/>
              <w:left w:val="nil"/>
              <w:bottom w:val="double" w:sz="7" w:color="000000"/>
              <w:right w:val="nil"/>
            </w:tcBorders>
            <w:vAlign w:val="top"/>
          </w:tcPr>
          <w:p>
            <w:pPr>
              <w:spacing w:before="0" w:after="6" w:line="259" w:lineRule="auto"/>
              <w:ind w:left="4"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8,500.00</w:t>
            </w:r>
          </w:p>
          <w:p>
            <w:pPr>
              <w:spacing w:before="0" w:after="6" w:line="259" w:lineRule="auto"/>
              <w:ind w:left="9" w:right="0" w:firstLine="0"/>
              <w:jc w:val="left"/>
            </w:pPr>
            <w:r>
              <w:rPr>
                <w:rFonts w:cs="Calibri" w:hAnsi="Calibri" w:eastAsia="Calibri" w:ascii="Calibri"/>
                <w:sz w:val="20"/>
              </w:rPr>
              <w:t xml:space="preserve">$*******6,000.00</w:t>
            </w:r>
            <w:r>
              <w:rPr>
                <w:rFonts w:cs="Calibri" w:hAnsi="Calibri" w:eastAsia="Calibri" w:ascii="Calibri"/>
                <w:sz w:val="20"/>
              </w:rPr>
              <w:t xml:space="preserve">*</w:t>
            </w:r>
          </w:p>
          <w:p>
            <w:pPr>
              <w:spacing w:before="0" w:after="236"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500.00</w:t>
            </w:r>
          </w:p>
          <w:p>
            <w:pPr>
              <w:spacing w:before="0" w:after="0" w:line="259" w:lineRule="auto"/>
              <w:ind w:left="9" w:right="0" w:firstLine="0"/>
              <w:jc w:val="left"/>
            </w:pPr>
            <w:r>
              <w:rPr>
                <w:rFonts w:cs="Calibri" w:hAnsi="Calibri" w:eastAsia="Calibri" w:ascii="Calibri"/>
                <w:sz w:val="20"/>
              </w:rPr>
              <w:t xml:space="preserve">$*******1,500.00</w:t>
            </w:r>
            <w:r>
              <w:rPr>
                <w:rFonts w:cs="Calibri" w:hAnsi="Calibri" w:eastAsia="Calibri" w:ascii="Calibri"/>
                <w:sz w:val="20"/>
              </w:rPr>
              <w:t xml:space="preserve">*</w:t>
            </w:r>
          </w:p>
          <w:p>
            <w:pPr>
              <w:spacing w:before="0" w:after="6" w:line="259" w:lineRule="auto"/>
              <w:ind w:left="0" w:right="0" w:firstLine="0"/>
              <w:jc w:val="left"/>
            </w:pPr>
            <w:r>
              <w:rPr>
                <w:rFonts w:cs="Calibri" w:hAnsi="Calibri" w:eastAsia="Calibri" w:ascii="Calibri"/>
                <w:sz w:val="20"/>
              </w:rPr>
              <w:t xml:space="preserve">$*************15.00</w:t>
            </w:r>
            <w:r>
              <w:rPr>
                <w:rFonts w:cs="Calibri" w:hAnsi="Calibri" w:eastAsia="Calibri" w:ascii="Calibri"/>
                <w:sz w:val="20"/>
              </w:rPr>
              <w:t xml:space="preserve">*</w:t>
            </w:r>
          </w:p>
          <w:p>
            <w:pPr>
              <w:spacing w:before="0" w:after="245" w:line="259" w:lineRule="auto"/>
              <w:ind w:left="0" w:right="0" w:firstLine="0"/>
              <w:jc w:val="left"/>
            </w:pPr>
            <w:r>
              <w:rPr>
                <w:rFonts w:cs="Calibri" w:hAnsi="Calibri" w:eastAsia="Calibri" w:ascii="Calibri"/>
                <w:sz w:val="20"/>
              </w:rPr>
              <w:t xml:space="preserve">$*************25.00</w:t>
            </w:r>
            <w:r>
              <w:rPr>
                <w:rFonts w:cs="Calibri" w:hAnsi="Calibri" w:eastAsia="Calibri" w:ascii="Calibri"/>
                <w:sz w:val="20"/>
              </w:rPr>
              <w:t xml:space="preserve">*</w:t>
            </w:r>
          </w:p>
          <w:p>
            <w:pPr>
              <w:spacing w:before="0" w:after="6" w:line="259" w:lineRule="auto"/>
              <w:ind w:left="4"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1,000.00</w:t>
            </w:r>
          </w:p>
          <w:p>
            <w:pPr>
              <w:spacing w:before="0" w:after="0" w:line="259" w:lineRule="auto"/>
              <w:ind w:left="9" w:right="0" w:firstLine="0"/>
              <w:jc w:val="left"/>
            </w:pPr>
            <w:r>
              <w:rPr>
                <w:rFonts w:cs="Calibri" w:hAnsi="Calibri" w:eastAsia="Calibri" w:ascii="Calibri"/>
                <w:sz w:val="20"/>
              </w:rPr>
              <w:t xml:space="preserve">$*******1,500.00</w:t>
            </w:r>
            <w:r>
              <w:rPr>
                <w:rFonts w:cs="Calibri" w:hAnsi="Calibri" w:eastAsia="Calibri" w:ascii="Calibri"/>
                <w:sz w:val="20"/>
              </w:rPr>
              <w:t xml:space="preserve">*</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400.00</w:t>
            </w:r>
          </w:p>
          <w:p>
            <w:pPr>
              <w:spacing w:before="0" w:after="0" w:line="259" w:lineRule="auto"/>
              <w:ind w:left="9" w:right="0" w:firstLine="0"/>
              <w:jc w:val="left"/>
            </w:pPr>
            <w:r>
              <w:rPr>
                <w:rFonts w:cs="Calibri" w:hAnsi="Calibri" w:eastAsia="Calibri" w:ascii="Calibri"/>
                <w:sz w:val="20"/>
              </w:rPr>
              <w:t xml:space="preserve">$*******5,000.00</w:t>
            </w:r>
            <w:r>
              <w:rPr>
                <w:rFonts w:cs="Calibri" w:hAnsi="Calibri" w:eastAsia="Calibri" w:ascii="Calibri"/>
                <w:sz w:val="20"/>
              </w:rPr>
              <w:t xml:space="preserve">*</w:t>
            </w:r>
          </w:p>
          <w:p>
            <w:pPr>
              <w:spacing w:before="0" w:after="0" w:line="259" w:lineRule="auto"/>
              <w:ind w:left="9" w:right="0" w:firstLine="0"/>
              <w:jc w:val="left"/>
            </w:pPr>
            <w:r>
              <w:rPr>
                <w:rFonts w:cs="Calibri" w:hAnsi="Calibri" w:eastAsia="Calibri" w:ascii="Calibri"/>
                <w:sz w:val="20"/>
              </w:rPr>
              <w:t xml:space="preserve">$*******9,000.00</w:t>
            </w:r>
            <w:r>
              <w:rPr>
                <w:rFonts w:cs="Calibri" w:hAnsi="Calibri" w:eastAsia="Calibri" w:ascii="Calibri"/>
                <w:sz w:val="20"/>
              </w:rPr>
              <w:t xml:space="preserve">*</w:t>
            </w:r>
          </w:p>
          <w:p>
            <w:pPr>
              <w:spacing w:before="0" w:after="0" w:line="259" w:lineRule="auto"/>
              <w:ind w:left="9" w:right="0" w:firstLine="0"/>
              <w:jc w:val="left"/>
            </w:pPr>
            <w:r>
              <w:rPr>
                <w:rFonts w:cs="Calibri" w:hAnsi="Calibri" w:eastAsia="Calibri" w:ascii="Calibri"/>
                <w:sz w:val="20"/>
              </w:rPr>
              <w:t xml:space="preserve">$*******3,000.00</w:t>
            </w:r>
            <w:r>
              <w:rPr>
                <w:rFonts w:cs="Calibri" w:hAnsi="Calibri" w:eastAsia="Calibri" w:ascii="Calibri"/>
                <w:sz w:val="20"/>
              </w:rPr>
              <w:t xml:space="preserve">*</w:t>
            </w:r>
          </w:p>
        </w:tc>
        <w:tc>
          <w:tcPr>
            <w:tcW w:w="1021" w:type="dxa"/>
            <w:tcBorders>
              <w:top w:val="nil"/>
              <w:left w:val="nil"/>
              <w:bottom w:val="double" w:sz="7" w:color="000000"/>
              <w:right w:val="nil"/>
            </w:tcBorders>
            <w:vAlign w:val="top"/>
          </w:tcPr>
          <w:p>
            <w:pPr>
              <w:spacing w:before="0" w:after="6" w:line="259" w:lineRule="auto"/>
              <w:ind w:left="0" w:right="0" w:firstLine="0"/>
            </w:pPr>
            <w:r>
              <w:rPr>
                <w:rFonts w:cs="Calibri" w:hAnsi="Calibri" w:eastAsia="Calibri" w:ascii="Calibri"/>
                <w:sz w:val="20"/>
              </w:rPr>
              <w:t xml:space="preserve">$102,000.00</w:t>
            </w:r>
          </w:p>
          <w:p>
            <w:pPr>
              <w:spacing w:before="0" w:after="6" w:line="259" w:lineRule="auto"/>
              <w:ind w:left="103" w:right="0" w:firstLine="0"/>
              <w:jc w:val="left"/>
            </w:pPr>
            <w:r>
              <w:rPr>
                <w:rFonts w:cs="Calibri" w:hAnsi="Calibri" w:eastAsia="Calibri" w:ascii="Calibri"/>
                <w:sz w:val="20"/>
              </w:rPr>
              <w:t xml:space="preserve">$72,000.00</w:t>
            </w:r>
          </w:p>
          <w:p>
            <w:pPr>
              <w:spacing w:before="0" w:after="236" w:line="259" w:lineRule="auto"/>
              <w:ind w:left="188" w:right="0" w:firstLine="0"/>
              <w:jc w:val="left"/>
            </w:pPr>
            <w:r>
              <w:rPr>
                <w:rFonts w:cs="Calibri" w:hAnsi="Calibri" w:eastAsia="Calibri" w:ascii="Calibri"/>
                <w:sz w:val="20"/>
              </w:rPr>
              <w:t xml:space="preserve">$6,000.00</w:t>
            </w:r>
          </w:p>
          <w:p>
            <w:pPr>
              <w:spacing w:before="0" w:after="9" w:line="256" w:lineRule="auto"/>
              <w:ind w:left="0" w:right="13" w:firstLine="0"/>
              <w:jc w:val="right"/>
            </w:pPr>
            <w:r>
              <w:rPr>
                <w:rFonts w:cs="Calibri" w:hAnsi="Calibri" w:eastAsia="Calibri" w:ascii="Calibri"/>
                <w:sz w:val="20"/>
              </w:rPr>
              <w:t xml:space="preserve">$18,000.00 $1,350.00</w:t>
            </w:r>
          </w:p>
          <w:p>
            <w:pPr>
              <w:spacing w:before="0" w:after="245" w:line="259" w:lineRule="auto"/>
              <w:ind w:left="188" w:right="0" w:firstLine="0"/>
              <w:jc w:val="left"/>
            </w:pPr>
            <w:r>
              <w:rPr>
                <w:rFonts w:cs="Calibri" w:hAnsi="Calibri" w:eastAsia="Calibri" w:ascii="Calibri"/>
                <w:sz w:val="20"/>
              </w:rPr>
              <w:t xml:space="preserve">$3,250.00</w:t>
            </w:r>
          </w:p>
          <w:p>
            <w:pPr>
              <w:spacing w:before="0" w:after="6" w:line="259" w:lineRule="auto"/>
              <w:ind w:left="103" w:right="0" w:firstLine="0"/>
              <w:jc w:val="left"/>
            </w:pPr>
            <w:r>
              <w:rPr>
                <w:rFonts w:cs="Calibri" w:hAnsi="Calibri" w:eastAsia="Calibri" w:ascii="Calibri"/>
                <w:sz w:val="20"/>
              </w:rPr>
              <w:t xml:space="preserve">$10,000.00</w:t>
            </w:r>
          </w:p>
          <w:p>
            <w:pPr>
              <w:spacing w:before="0" w:after="0" w:line="256" w:lineRule="auto"/>
              <w:ind w:left="0" w:right="13" w:firstLine="0"/>
              <w:jc w:val="right"/>
            </w:pPr>
            <w:r>
              <w:rPr>
                <w:rFonts w:cs="Calibri" w:hAnsi="Calibri" w:eastAsia="Calibri" w:ascii="Calibri"/>
                <w:sz w:val="20"/>
              </w:rPr>
              <w:t xml:space="preserve">$15,000.00 $1,200.00</w:t>
            </w:r>
          </w:p>
          <w:p>
            <w:pPr>
              <w:spacing w:before="0" w:after="0" w:line="259" w:lineRule="auto"/>
              <w:ind w:left="188" w:right="0" w:firstLine="0"/>
              <w:jc w:val="left"/>
            </w:pPr>
            <w:r>
              <w:rPr>
                <w:rFonts w:cs="Calibri" w:hAnsi="Calibri" w:eastAsia="Calibri" w:ascii="Calibri"/>
                <w:sz w:val="20"/>
              </w:rPr>
              <w:t xml:space="preserve">$5,000.00</w:t>
            </w:r>
          </w:p>
          <w:p>
            <w:pPr>
              <w:spacing w:before="0" w:after="0" w:line="259" w:lineRule="auto"/>
              <w:ind w:left="188" w:right="0" w:firstLine="0"/>
              <w:jc w:val="left"/>
            </w:pPr>
            <w:r>
              <w:rPr>
                <w:rFonts w:cs="Calibri" w:hAnsi="Calibri" w:eastAsia="Calibri" w:ascii="Calibri"/>
                <w:sz w:val="20"/>
              </w:rPr>
              <w:t xml:space="preserve">$9,000.00</w:t>
            </w:r>
          </w:p>
          <w:p>
            <w:pPr>
              <w:spacing w:before="0" w:after="0" w:line="259" w:lineRule="auto"/>
              <w:ind w:left="188" w:right="0" w:firstLine="0"/>
              <w:jc w:val="left"/>
            </w:pPr>
            <w:r>
              <w:rPr>
                <w:rFonts w:cs="Calibri" w:hAnsi="Calibri" w:eastAsia="Calibri" w:ascii="Calibri"/>
                <w:sz w:val="20"/>
              </w:rPr>
              <w:t xml:space="preserve">$3,000.00</w:t>
            </w:r>
          </w:p>
        </w:tc>
      </w:tr>
    </w:tbl>
    <w:tbl>
      <w:tblPr>
        <w:tblStyle w:val="TableGrid"/>
        <w:tblW w:w="9422" w:type="dxa"/>
        <w:tblInd w:w="2837" w:type="dxa"/>
        <w:tblCellMar>
          <w:top w:w="0" w:type="dxa"/>
          <w:left w:w="0" w:type="dxa"/>
          <w:bottom w:w="0" w:type="dxa"/>
          <w:right w:w="0" w:type="dxa"/>
        </w:tblCellMar>
      </w:tblPr>
      <w:tblGrid>
        <w:gridCol w:w="3721"/>
        <w:gridCol w:w="1722"/>
        <w:gridCol w:w="1439"/>
        <w:gridCol w:w="1525"/>
        <w:gridCol w:w="1015"/>
      </w:tblGrid>
      <w:tr>
        <w:trPr>
          <w:trHeight w:val="496" w:hRule="atLeast"/>
        </w:trPr>
        <w:tc>
          <w:tcPr>
            <w:tcW w:w="3721" w:type="dxa"/>
            <w:vMerge w:val="restart"/>
            <w:tcBorders>
              <w:top w:val="nil"/>
              <w:left w:val="nil"/>
              <w:bottom w:val="nil"/>
              <w:right w:val="nil"/>
            </w:tcBorders>
            <w:vAlign w:val="bottom"/>
          </w:tcPr>
          <w:p>
            <w:pPr>
              <w:spacing w:before="0" w:after="232" w:line="259" w:lineRule="auto"/>
              <w:ind w:left="0" w:right="0" w:firstLine="0"/>
              <w:jc w:val="left"/>
            </w:pPr>
            <w:r>
              <w:rPr>
                <w:rFonts w:cs="Calibri" w:hAnsi="Calibri" w:eastAsia="Calibri" w:ascii="Calibri"/>
                <w:sz w:val="20"/>
              </w:rPr>
              <w:t xml:space="preserve">*Security*Improvements*</w:t>
            </w:r>
          </w:p>
          <w:p>
            <w:pPr>
              <w:spacing w:before="0" w:after="0" w:line="259" w:lineRule="auto"/>
              <w:ind w:left="0" w:right="0" w:firstLine="0"/>
              <w:jc w:val="left"/>
            </w:pPr>
            <w:r>
              <w:rPr>
                <w:rFonts w:cs="Calibri" w:hAnsi="Calibri" w:eastAsia="Calibri" w:ascii="Calibri"/>
                <w:sz w:val="20"/>
              </w:rPr>
              <w:t xml:space="preserve">*Laptop*Computers*w/Docking*Station*</w:t>
            </w:r>
          </w:p>
          <w:p>
            <w:pPr>
              <w:spacing w:before="0" w:after="0" w:line="259" w:lineRule="auto"/>
              <w:ind w:left="0" w:right="0" w:firstLine="0"/>
              <w:jc w:val="left"/>
            </w:pPr>
            <w:r>
              <w:rPr>
                <w:rFonts w:cs="Calibri" w:hAnsi="Calibri" w:eastAsia="Calibri" w:ascii="Calibri"/>
                <w:sz w:val="20"/>
              </w:rPr>
              <w:t xml:space="preserve">*Desktop*Computers*</w:t>
            </w:r>
          </w:p>
          <w:p>
            <w:pPr>
              <w:spacing w:before="0" w:after="0" w:line="259" w:lineRule="auto"/>
              <w:ind w:left="60" w:right="0" w:firstLine="0"/>
              <w:jc w:val="left"/>
            </w:pPr>
            <w:r>
              <w:rPr>
                <w:rFonts w:cs="Calibri" w:hAnsi="Calibri" w:eastAsia="Calibri" w:ascii="Calibri"/>
                <w:sz w:val="20"/>
              </w:rPr>
              <w:t xml:space="preserve">Smart*Phones</w:t>
            </w:r>
          </w:p>
          <w:p>
            <w:pPr>
              <w:spacing w:before="0" w:after="6" w:line="259" w:lineRule="auto"/>
              <w:ind w:left="60" w:right="0" w:firstLine="0"/>
              <w:jc w:val="left"/>
            </w:pPr>
            <w:r>
              <w:rPr>
                <w:rFonts w:cs="Calibri" w:hAnsi="Calibri" w:eastAsia="Calibri" w:ascii="Calibri"/>
                <w:sz w:val="20"/>
              </w:rPr>
              <w:t xml:space="preserve">Cell*Phones</w:t>
            </w:r>
          </w:p>
          <w:p>
            <w:pPr>
              <w:spacing w:before="0" w:after="0" w:line="259" w:lineRule="auto"/>
              <w:ind w:left="0" w:right="0" w:firstLine="0"/>
              <w:jc w:val="left"/>
            </w:pPr>
            <w:r>
              <w:rPr>
                <w:rFonts w:cs="Calibri" w:hAnsi="Calibri" w:eastAsia="Calibri" w:ascii="Calibri"/>
                <w:sz w:val="20"/>
              </w:rPr>
              <w:t xml:space="preserve">*Networked*Color*Printers*</w:t>
            </w:r>
          </w:p>
          <w:p>
            <w:pPr>
              <w:spacing w:before="0" w:after="2" w:line="259" w:lineRule="auto"/>
              <w:ind w:left="0" w:right="0" w:firstLine="0"/>
              <w:jc w:val="left"/>
            </w:pPr>
            <w:r>
              <w:rPr>
                <w:rFonts w:cs="Calibri" w:hAnsi="Calibri" w:eastAsia="Calibri" w:ascii="Calibri"/>
                <w:sz w:val="20"/>
              </w:rPr>
              <w:t xml:space="preserve">*Multi3Function*Printers*</w:t>
            </w:r>
          </w:p>
          <w:p>
            <w:pPr>
              <w:spacing w:before="0" w:after="0" w:line="259" w:lineRule="auto"/>
              <w:ind w:left="60" w:right="0" w:firstLine="0"/>
              <w:jc w:val="left"/>
            </w:pPr>
            <w:r>
              <w:rPr>
                <w:rFonts w:cs="Calibri" w:hAnsi="Calibri" w:eastAsia="Calibri" w:ascii="Calibri"/>
                <w:sz w:val="20"/>
              </w:rPr>
              <w:t xml:space="preserve">UPS*Units</w:t>
            </w:r>
          </w:p>
          <w:p>
            <w:pPr>
              <w:spacing w:before="0" w:after="0" w:line="259" w:lineRule="auto"/>
              <w:ind w:left="60" w:right="0" w:firstLine="0"/>
              <w:jc w:val="left"/>
            </w:pPr>
            <w:r>
              <w:rPr>
                <w:rFonts w:cs="Calibri" w:hAnsi="Calibri" w:eastAsia="Calibri" w:ascii="Calibri"/>
                <w:sz w:val="20"/>
              </w:rPr>
              <w:t xml:space="preserve">Small*Refrigerator</w:t>
            </w:r>
          </w:p>
          <w:p>
            <w:pPr>
              <w:spacing w:before="0" w:after="0" w:line="259" w:lineRule="auto"/>
              <w:ind w:left="60" w:right="0" w:firstLine="0"/>
              <w:jc w:val="left"/>
            </w:pPr>
            <w:r>
              <w:rPr>
                <w:rFonts w:cs="Calibri" w:hAnsi="Calibri" w:eastAsia="Calibri" w:ascii="Calibri"/>
                <w:sz w:val="20"/>
              </w:rPr>
              <w:t xml:space="preserve">Water*Cooler</w:t>
            </w:r>
          </w:p>
          <w:p>
            <w:pPr>
              <w:spacing w:before="0" w:after="0" w:line="259" w:lineRule="auto"/>
              <w:ind w:left="60" w:right="0" w:firstLine="0"/>
              <w:jc w:val="left"/>
            </w:pPr>
            <w:r>
              <w:rPr>
                <w:rFonts w:cs="Calibri" w:hAnsi="Calibri" w:eastAsia="Calibri" w:ascii="Calibri"/>
                <w:sz w:val="20"/>
              </w:rPr>
              <w:t xml:space="preserve">Safe</w:t>
            </w:r>
          </w:p>
          <w:p>
            <w:pPr>
              <w:spacing w:before="0" w:after="2" w:line="259" w:lineRule="auto"/>
              <w:ind w:left="0" w:right="0" w:firstLine="0"/>
              <w:jc w:val="left"/>
            </w:pPr>
            <w:r>
              <w:rPr>
                <w:rFonts w:cs="Calibri" w:hAnsi="Calibri" w:eastAsia="Calibri" w:ascii="Calibri"/>
                <w:sz w:val="20"/>
              </w:rPr>
              <w:t xml:space="preserve">*Paper*Shredder*(Heavy*Duty)*</w:t>
            </w:r>
          </w:p>
          <w:p>
            <w:pPr>
              <w:spacing w:before="0" w:after="0" w:line="259" w:lineRule="auto"/>
              <w:ind w:left="60" w:right="0" w:firstLine="0"/>
              <w:jc w:val="left"/>
            </w:pPr>
            <w:r>
              <w:rPr>
                <w:rFonts w:cs="Calibri" w:hAnsi="Calibri" w:eastAsia="Calibri" w:ascii="Calibri"/>
                <w:sz w:val="20"/>
              </w:rPr>
              <w:t xml:space="preserve">Projector</w:t>
            </w:r>
          </w:p>
          <w:p>
            <w:pPr>
              <w:spacing w:before="0" w:after="0" w:line="259" w:lineRule="auto"/>
              <w:ind w:left="60" w:right="0" w:firstLine="0"/>
              <w:jc w:val="left"/>
            </w:pPr>
            <w:r>
              <w:rPr>
                <w:rFonts w:cs="Calibri" w:hAnsi="Calibri" w:eastAsia="Calibri" w:ascii="Calibri"/>
                <w:sz w:val="20"/>
              </w:rPr>
              <w:t xml:space="preserve">Desks</w:t>
            </w:r>
          </w:p>
          <w:p>
            <w:pPr>
              <w:spacing w:before="0" w:after="0" w:line="259" w:lineRule="auto"/>
              <w:ind w:left="60" w:right="0" w:firstLine="0"/>
              <w:jc w:val="left"/>
            </w:pPr>
            <w:r>
              <w:rPr>
                <w:rFonts w:cs="Calibri" w:hAnsi="Calibri" w:eastAsia="Calibri" w:ascii="Calibri"/>
                <w:sz w:val="20"/>
              </w:rPr>
              <w:t xml:space="preserve">Desk*Chairs</w:t>
            </w:r>
          </w:p>
        </w:tc>
        <w:tc>
          <w:tcPr>
            <w:tcW w:w="1722" w:type="dxa"/>
            <w:vMerge w:val="restart"/>
            <w:tcBorders>
              <w:top w:val="nil"/>
              <w:left w:val="nil"/>
              <w:bottom w:val="nil"/>
              <w:right w:val="nil"/>
            </w:tcBorders>
            <w:vAlign w:val="bottom"/>
          </w:tcPr>
          <w:p>
            <w:pPr>
              <w:spacing w:before="0" w:after="248" w:line="248" w:lineRule="auto"/>
              <w:ind w:left="77" w:right="1107" w:hanging="56"/>
              <w:jc w:val="left"/>
            </w:pPr>
            <w:r>
              <w:rPr>
                <w:rFonts w:cs="Calibri" w:hAnsi="Calibri" w:eastAsia="Calibri" w:ascii="Calibri"/>
                <w:sz w:val="20"/>
              </w:rPr>
              <w:t xml:space="preserve">Pool 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6" w:line="259" w:lineRule="auto"/>
              <w:ind w:left="77" w:right="0" w:firstLine="0"/>
              <w:jc w:val="left"/>
            </w:pPr>
            <w:r>
              <w:rPr>
                <w:rFonts w:cs="Calibri" w:hAnsi="Calibri" w:eastAsia="Calibri" w:ascii="Calibri"/>
                <w:sz w:val="20"/>
              </w:rPr>
              <w:t xml:space="preserve">Ea.</w:t>
            </w:r>
          </w:p>
          <w:p>
            <w:pPr>
              <w:spacing w:before="0" w:after="6"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6"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tc>
        <w:tc>
          <w:tcPr>
            <w:tcW w:w="2965" w:type="dxa"/>
            <w:gridSpan w:val="2"/>
            <w:tcBorders>
              <w:top w:val="nil"/>
              <w:left w:val="nil"/>
              <w:bottom w:val="nil"/>
              <w:right w:val="nil"/>
            </w:tcBorders>
            <w:vAlign w:val="top"/>
          </w:tcPr>
          <w:p>
            <w:pPr>
              <w:spacing w:before="0" w:after="0" w:line="259" w:lineRule="auto"/>
              <w:ind w:left="288" w:right="0" w:firstLine="0"/>
              <w:jc w:val="left"/>
            </w:pPr>
            <w:r>
              <w:rPr>
                <w:rFonts w:cs="Calibri" w:hAnsi="Calibri" w:eastAsia="Calibri" w:ascii="Calibri"/>
                <w:b w:val="1"/>
                <w:sz w:val="20"/>
              </w:rPr>
              <w:t xml:space="preserve">Subtotal(NN((Recurring(Costs:</w:t>
            </w:r>
          </w:p>
        </w:tc>
        <w:tc>
          <w:tcPr>
            <w:tcW w:w="1015" w:type="dxa"/>
            <w:vMerge w:val="restart"/>
            <w:tcBorders>
              <w:top w:val="nil"/>
              <w:left w:val="nil"/>
              <w:bottom w:val="nil"/>
              <w:right w:val="nil"/>
            </w:tcBorders>
            <w:vAlign w:val="top"/>
          </w:tcPr>
          <w:p>
            <w:pPr>
              <w:spacing w:before="0" w:after="236" w:line="259" w:lineRule="auto"/>
              <w:ind w:left="0" w:right="0" w:firstLine="0"/>
            </w:pPr>
            <w:r>
              <w:rPr>
                <w:rFonts w:cs="Calibri" w:hAnsi="Calibri" w:eastAsia="Calibri" w:ascii="Calibri"/>
                <w:b w:val="1"/>
                <w:sz w:val="20"/>
              </w:rPr>
              <w:t xml:space="preserve">$245,800.00</w:t>
            </w:r>
          </w:p>
          <w:p>
            <w:pPr>
              <w:spacing w:before="0" w:after="0" w:line="259" w:lineRule="auto"/>
              <w:ind w:left="120" w:right="0" w:firstLine="0"/>
              <w:jc w:val="left"/>
            </w:pPr>
            <w:r>
              <w:rPr>
                <w:rFonts w:cs="Calibri" w:hAnsi="Calibri" w:eastAsia="Calibri" w:ascii="Calibri"/>
                <w:sz w:val="20"/>
              </w:rPr>
              <w:t xml:space="preserve">$20,000.00</w:t>
            </w:r>
          </w:p>
          <w:p>
            <w:pPr>
              <w:spacing w:before="0" w:after="236" w:line="259" w:lineRule="auto"/>
              <w:ind w:left="107" w:right="0" w:firstLine="0"/>
              <w:jc w:val="left"/>
            </w:pPr>
            <w:r>
              <w:rPr>
                <w:rFonts w:cs="Calibri" w:hAnsi="Calibri" w:eastAsia="Calibri" w:ascii="Calibri"/>
                <w:sz w:val="20"/>
              </w:rPr>
              <w:t xml:space="preserve">$21,000.00</w:t>
            </w:r>
          </w:p>
          <w:p>
            <w:pPr>
              <w:spacing w:before="0" w:after="0" w:line="259" w:lineRule="auto"/>
              <w:ind w:left="205" w:right="0" w:firstLine="0"/>
              <w:jc w:val="left"/>
            </w:pPr>
            <w:r>
              <w:rPr>
                <w:rFonts w:cs="Calibri" w:hAnsi="Calibri" w:eastAsia="Calibri" w:ascii="Calibri"/>
                <w:sz w:val="20"/>
              </w:rPr>
              <w:t xml:space="preserve">$6,000.00</w:t>
            </w:r>
          </w:p>
          <w:p>
            <w:pPr>
              <w:spacing w:before="0" w:after="0" w:line="259" w:lineRule="auto"/>
              <w:ind w:left="107" w:right="0" w:firstLine="0"/>
              <w:jc w:val="left"/>
            </w:pPr>
            <w:r>
              <w:rPr>
                <w:rFonts w:cs="Calibri" w:hAnsi="Calibri" w:eastAsia="Calibri" w:ascii="Calibri"/>
                <w:sz w:val="20"/>
              </w:rPr>
              <w:t xml:space="preserve">$12,000.00</w:t>
            </w:r>
          </w:p>
          <w:p>
            <w:pPr>
              <w:spacing w:before="0" w:after="0" w:line="265" w:lineRule="auto"/>
              <w:ind w:left="0" w:right="13" w:firstLine="0"/>
              <w:jc w:val="right"/>
            </w:pPr>
            <w:r>
              <w:rPr>
                <w:rFonts w:cs="Calibri" w:hAnsi="Calibri" w:eastAsia="Calibri" w:ascii="Calibri"/>
                <w:sz w:val="20"/>
              </w:rPr>
              <w:t xml:space="preserve">$600.00 $2,224.00</w:t>
            </w:r>
          </w:p>
          <w:p>
            <w:pPr>
              <w:spacing w:before="0" w:after="0" w:line="259" w:lineRule="auto"/>
              <w:ind w:left="205" w:right="0" w:firstLine="0"/>
              <w:jc w:val="left"/>
            </w:pPr>
            <w:r>
              <w:rPr>
                <w:rFonts w:cs="Calibri" w:hAnsi="Calibri" w:eastAsia="Calibri" w:ascii="Calibri"/>
                <w:sz w:val="20"/>
              </w:rPr>
              <w:t xml:space="preserve">$7,800.00</w:t>
            </w:r>
          </w:p>
          <w:p>
            <w:pPr>
              <w:spacing w:before="0" w:after="0" w:line="259" w:lineRule="auto"/>
              <w:ind w:left="205" w:right="0" w:firstLine="0"/>
              <w:jc w:val="left"/>
            </w:pPr>
            <w:r>
              <w:rPr>
                <w:rFonts w:cs="Calibri" w:hAnsi="Calibri" w:eastAsia="Calibri" w:ascii="Calibri"/>
                <w:sz w:val="20"/>
              </w:rPr>
              <w:t xml:space="preserve">$7,500.00</w:t>
            </w:r>
          </w:p>
          <w:p>
            <w:pPr>
              <w:spacing w:before="0" w:after="0" w:line="259" w:lineRule="auto"/>
              <w:ind w:left="0" w:right="13" w:firstLine="0"/>
              <w:jc w:val="right"/>
            </w:pPr>
            <w:r>
              <w:rPr>
                <w:rFonts w:cs="Calibri" w:hAnsi="Calibri" w:eastAsia="Calibri" w:ascii="Calibri"/>
                <w:sz w:val="20"/>
              </w:rPr>
              <w:t xml:space="preserve">$876.00</w:t>
            </w:r>
          </w:p>
          <w:p>
            <w:pPr>
              <w:spacing w:before="0" w:after="0" w:line="256" w:lineRule="auto"/>
              <w:ind w:left="0" w:right="13" w:firstLine="9"/>
              <w:jc w:val="right"/>
            </w:pPr>
            <w:r>
              <w:rPr>
                <w:rFonts w:cs="Calibri" w:hAnsi="Calibri" w:eastAsia="Calibri" w:ascii="Calibri"/>
                <w:sz w:val="20"/>
              </w:rPr>
              <w:t xml:space="preserve">$80.00 $900.00 $900.00</w:t>
            </w:r>
          </w:p>
          <w:p>
            <w:pPr>
              <w:spacing w:before="0" w:after="0" w:line="259" w:lineRule="auto"/>
              <w:ind w:left="205" w:right="0" w:firstLine="0"/>
              <w:jc w:val="left"/>
            </w:pPr>
            <w:r>
              <w:rPr>
                <w:rFonts w:cs="Calibri" w:hAnsi="Calibri" w:eastAsia="Calibri" w:ascii="Calibri"/>
                <w:sz w:val="20"/>
              </w:rPr>
              <w:t xml:space="preserve">$1,300.00</w:t>
            </w:r>
          </w:p>
          <w:p>
            <w:pPr>
              <w:spacing w:before="0" w:after="0" w:line="259" w:lineRule="auto"/>
              <w:ind w:left="0" w:right="13" w:firstLine="0"/>
              <w:jc w:val="right"/>
            </w:pPr>
            <w:r>
              <w:rPr>
                <w:rFonts w:cs="Calibri" w:hAnsi="Calibri" w:eastAsia="Calibri" w:ascii="Calibri"/>
                <w:sz w:val="20"/>
              </w:rPr>
              <w:t xml:space="preserve">$20,930.00 $8,395.00</w:t>
            </w:r>
          </w:p>
        </w:tc>
      </w:tr>
      <w:tr>
        <w:trPr>
          <w:trHeight w:val="4008" w:hRule="atLeast"/>
        </w:trPr>
        <w:tc>
          <w:tcPr>
            <w:vMerge w:val="continue"/>
            <w:tcBorders>
              <w:top w:val="nil"/>
              <w:left w:val="nil"/>
              <w:bottom w:val="nil"/>
              <w:right w:val="nil"/>
            </w:tcBorders>
            <w:vAlign w:val="center"/>
          </w:tcPr>
          <w:p>
            <w:pPr>
              <w:bidi w:val="0"/>
              <w:spacing w:before="0" w:after="160" w:line="259" w:lineRule="auto"/>
              <w:ind w:left="0" w:right="0" w:firstLine="0"/>
              <w:jc w:val="left"/>
            </w:pPr>
          </w:p>
        </w:tc>
        <w:tc>
          <w:tcPr>
            <w:vMerge w:val="continue"/>
            <w:tcBorders>
              <w:top w:val="nil"/>
              <w:left w:val="nil"/>
              <w:bottom w:val="nil"/>
              <w:right w:val="nil"/>
            </w:tcBorders>
            <w:vAlign w:val="center"/>
          </w:tcPr>
          <w:p>
            <w:pPr>
              <w:bidi w:val="0"/>
              <w:spacing w:before="0" w:after="160" w:line="259" w:lineRule="auto"/>
              <w:ind w:left="0" w:right="0" w:firstLine="0"/>
              <w:jc w:val="left"/>
            </w:pPr>
          </w:p>
        </w:tc>
        <w:tc>
          <w:tcPr>
            <w:tcW w:w="1439" w:type="dxa"/>
            <w:tcBorders>
              <w:top w:val="nil"/>
              <w:left w:val="nil"/>
              <w:bottom w:val="nil"/>
              <w:right w:val="nil"/>
            </w:tcBorders>
            <w:vAlign w:val="top"/>
          </w:tcPr>
          <w:p>
            <w:pPr>
              <w:spacing w:before="0" w:after="0" w:line="259" w:lineRule="auto"/>
              <w:ind w:left="103" w:right="0" w:firstLine="0"/>
              <w:jc w:val="left"/>
            </w:pPr>
            <w:r>
              <w:rPr>
                <w:rFonts w:cs="Calibri" w:hAnsi="Calibri" w:eastAsia="Calibri" w:ascii="Calibri"/>
                <w:sz w:val="20"/>
              </w:rPr>
              <w:t xml:space="preserve">1</w:t>
            </w:r>
          </w:p>
          <w:p>
            <w:pPr>
              <w:spacing w:before="0" w:after="236" w:line="259" w:lineRule="auto"/>
              <w:ind w:left="51" w:right="0" w:firstLine="0"/>
              <w:jc w:val="left"/>
            </w:pPr>
            <w:r>
              <w:rPr>
                <w:rFonts w:cs="Calibri" w:hAnsi="Calibri" w:eastAsia="Calibri" w:ascii="Calibri"/>
                <w:sz w:val="20"/>
              </w:rPr>
              <w:t xml:space="preserve">15</w:t>
            </w:r>
          </w:p>
          <w:p>
            <w:pPr>
              <w:spacing w:before="0" w:after="0" w:line="259" w:lineRule="auto"/>
              <w:ind w:left="103" w:right="0" w:firstLine="0"/>
              <w:jc w:val="left"/>
            </w:pPr>
            <w:r>
              <w:rPr>
                <w:rFonts w:cs="Calibri" w:hAnsi="Calibri" w:eastAsia="Calibri" w:ascii="Calibri"/>
                <w:sz w:val="20"/>
              </w:rPr>
              <w:t xml:space="preserve">8</w:t>
            </w:r>
          </w:p>
          <w:p>
            <w:pPr>
              <w:spacing w:before="0" w:after="0" w:line="259" w:lineRule="auto"/>
              <w:ind w:left="51" w:right="0" w:firstLine="0"/>
              <w:jc w:val="left"/>
            </w:pPr>
            <w:r>
              <w:rPr>
                <w:rFonts w:cs="Calibri" w:hAnsi="Calibri" w:eastAsia="Calibri" w:ascii="Calibri"/>
                <w:sz w:val="20"/>
              </w:rPr>
              <w:t xml:space="preserve">15</w:t>
            </w:r>
          </w:p>
          <w:p>
            <w:pPr>
              <w:spacing w:before="0" w:after="6" w:line="259" w:lineRule="auto"/>
              <w:ind w:left="51" w:right="0" w:firstLine="0"/>
              <w:jc w:val="left"/>
            </w:pPr>
            <w:r>
              <w:rPr>
                <w:rFonts w:cs="Calibri" w:hAnsi="Calibri" w:eastAsia="Calibri" w:ascii="Calibri"/>
                <w:sz w:val="20"/>
              </w:rPr>
              <w:t xml:space="preserve">12</w:t>
            </w:r>
          </w:p>
          <w:p>
            <w:pPr>
              <w:spacing w:before="0" w:after="6" w:line="259" w:lineRule="auto"/>
              <w:ind w:left="103" w:right="0" w:firstLine="0"/>
              <w:jc w:val="left"/>
            </w:pPr>
            <w:r>
              <w:rPr>
                <w:rFonts w:cs="Calibri" w:hAnsi="Calibri" w:eastAsia="Calibri" w:ascii="Calibri"/>
                <w:sz w:val="20"/>
              </w:rPr>
              <w:t xml:space="preserve">4</w:t>
            </w:r>
          </w:p>
          <w:p>
            <w:pPr>
              <w:spacing w:before="0" w:after="0" w:line="259" w:lineRule="auto"/>
              <w:ind w:left="103" w:right="0" w:firstLine="0"/>
              <w:jc w:val="left"/>
            </w:pPr>
            <w:r>
              <w:rPr>
                <w:rFonts w:cs="Calibri" w:hAnsi="Calibri" w:eastAsia="Calibri" w:ascii="Calibri"/>
                <w:sz w:val="20"/>
              </w:rPr>
              <w:t xml:space="preserve">1</w:t>
            </w:r>
          </w:p>
          <w:p>
            <w:pPr>
              <w:spacing w:before="0" w:after="0" w:line="259" w:lineRule="auto"/>
              <w:ind w:left="51" w:right="0" w:firstLine="0"/>
              <w:jc w:val="left"/>
            </w:pPr>
            <w:r>
              <w:rPr>
                <w:rFonts w:cs="Calibri" w:hAnsi="Calibri" w:eastAsia="Calibri" w:ascii="Calibri"/>
                <w:sz w:val="20"/>
              </w:rPr>
              <w:t xml:space="preserve">15</w:t>
            </w:r>
          </w:p>
          <w:p>
            <w:pPr>
              <w:spacing w:before="0" w:after="0" w:line="259" w:lineRule="auto"/>
              <w:ind w:left="103" w:right="0" w:firstLine="0"/>
              <w:jc w:val="left"/>
            </w:pPr>
            <w:r>
              <w:rPr>
                <w:rFonts w:cs="Calibri" w:hAnsi="Calibri" w:eastAsia="Calibri" w:ascii="Calibri"/>
                <w:sz w:val="20"/>
              </w:rPr>
              <w:t xml:space="preserve">2</w:t>
            </w:r>
          </w:p>
          <w:p>
            <w:pPr>
              <w:spacing w:before="0" w:after="0" w:line="259" w:lineRule="auto"/>
              <w:ind w:left="103" w:right="0" w:firstLine="0"/>
              <w:jc w:val="left"/>
            </w:pPr>
            <w:r>
              <w:rPr>
                <w:rFonts w:cs="Calibri" w:hAnsi="Calibri" w:eastAsia="Calibri" w:ascii="Calibri"/>
                <w:sz w:val="20"/>
              </w:rPr>
              <w:t xml:space="preserve">2</w:t>
            </w:r>
          </w:p>
          <w:p>
            <w:pPr>
              <w:spacing w:before="0" w:after="6" w:line="259" w:lineRule="auto"/>
              <w:ind w:left="103" w:right="0" w:firstLine="0"/>
              <w:jc w:val="left"/>
            </w:pPr>
            <w:r>
              <w:rPr>
                <w:rFonts w:cs="Calibri" w:hAnsi="Calibri" w:eastAsia="Calibri" w:ascii="Calibri"/>
                <w:sz w:val="20"/>
              </w:rPr>
              <w:t xml:space="preserve">1</w:t>
            </w:r>
          </w:p>
          <w:p>
            <w:pPr>
              <w:spacing w:before="0" w:after="0" w:line="259" w:lineRule="auto"/>
              <w:ind w:left="103" w:right="0" w:firstLine="0"/>
              <w:jc w:val="left"/>
            </w:pPr>
            <w:r>
              <w:rPr>
                <w:rFonts w:cs="Calibri" w:hAnsi="Calibri" w:eastAsia="Calibri" w:ascii="Calibri"/>
                <w:sz w:val="20"/>
              </w:rPr>
              <w:t xml:space="preserve">2</w:t>
            </w:r>
          </w:p>
          <w:p>
            <w:pPr>
              <w:spacing w:before="0" w:after="0" w:line="259" w:lineRule="auto"/>
              <w:ind w:left="103" w:right="0" w:firstLine="0"/>
              <w:jc w:val="left"/>
            </w:pPr>
            <w:r>
              <w:rPr>
                <w:rFonts w:cs="Calibri" w:hAnsi="Calibri" w:eastAsia="Calibri" w:ascii="Calibri"/>
                <w:sz w:val="20"/>
              </w:rPr>
              <w:t xml:space="preserve">1</w:t>
            </w:r>
          </w:p>
          <w:p>
            <w:pPr>
              <w:spacing w:before="0" w:after="0" w:line="259" w:lineRule="auto"/>
              <w:ind w:left="51" w:right="0" w:firstLine="0"/>
              <w:jc w:val="left"/>
            </w:pPr>
            <w:r>
              <w:rPr>
                <w:rFonts w:cs="Calibri" w:hAnsi="Calibri" w:eastAsia="Calibri" w:ascii="Calibri"/>
                <w:sz w:val="20"/>
              </w:rPr>
              <w:t xml:space="preserve">23</w:t>
            </w:r>
          </w:p>
          <w:p>
            <w:pPr>
              <w:spacing w:before="0" w:after="0" w:line="259" w:lineRule="auto"/>
              <w:ind w:left="51" w:right="0" w:firstLine="0"/>
              <w:jc w:val="left"/>
            </w:pPr>
            <w:r>
              <w:rPr>
                <w:rFonts w:cs="Calibri" w:hAnsi="Calibri" w:eastAsia="Calibri" w:ascii="Calibri"/>
                <w:sz w:val="20"/>
              </w:rPr>
              <w:t xml:space="preserve">23</w:t>
            </w:r>
          </w:p>
        </w:tc>
        <w:tc>
          <w:tcPr>
            <w:tcW w:w="1525" w:type="dxa"/>
            <w:tcBorders>
              <w:top w:val="nil"/>
              <w:left w:val="nil"/>
              <w:bottom w:val="nil"/>
              <w:right w:val="nil"/>
            </w:tcBorders>
            <w:vAlign w:val="top"/>
          </w:tcPr>
          <w:p>
            <w:pPr>
              <w:spacing w:before="0" w:after="0" w:line="259" w:lineRule="auto"/>
              <w:ind w:left="4" w:right="0" w:firstLine="0"/>
              <w:jc w:val="left"/>
            </w:pPr>
            <w:r>
              <w:rPr>
                <w:rFonts w:cs="Calibri" w:hAnsi="Calibri" w:eastAsia="Calibri" w:ascii="Calibri"/>
                <w:sz w:val="20"/>
              </w:rPr>
              <w:t xml:space="preserve">$*****20,000.00</w:t>
            </w:r>
            <w:r>
              <w:rPr>
                <w:rFonts w:cs="Calibri" w:hAnsi="Calibri" w:eastAsia="Calibri" w:ascii="Calibri"/>
                <w:sz w:val="20"/>
              </w:rPr>
              <w:t xml:space="preserve">*</w:t>
            </w:r>
          </w:p>
          <w:p>
            <w:pPr>
              <w:spacing w:before="0" w:after="236" w:line="259" w:lineRule="auto"/>
              <w:ind w:left="9" w:right="0" w:firstLine="0"/>
              <w:jc w:val="left"/>
            </w:pPr>
            <w:r>
              <w:rPr>
                <w:rFonts w:cs="Calibri" w:hAnsi="Calibri" w:eastAsia="Calibri" w:ascii="Calibri"/>
                <w:sz w:val="20"/>
              </w:rPr>
              <w:t xml:space="preserve">$*******1,400.00</w:t>
            </w:r>
            <w:r>
              <w:rPr>
                <w:rFonts w:cs="Calibri" w:hAnsi="Calibri" w:eastAsia="Calibri" w:ascii="Calibri"/>
                <w:sz w:val="20"/>
              </w:rPr>
              <w:t xml:space="preserve">*</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750.00</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800.00</w:t>
            </w:r>
          </w:p>
          <w:p>
            <w:pPr>
              <w:spacing w:before="0" w:after="6" w:line="259" w:lineRule="auto"/>
              <w:ind w:left="0" w:right="0" w:firstLine="0"/>
              <w:jc w:val="left"/>
            </w:pPr>
            <w:r>
              <w:rPr>
                <w:rFonts w:cs="Calibri" w:hAnsi="Calibri" w:eastAsia="Calibri" w:ascii="Calibri"/>
                <w:sz w:val="20"/>
              </w:rPr>
              <w:t xml:space="preserve">$*************50.00</w:t>
            </w:r>
            <w:r>
              <w:rPr>
                <w:rFonts w:cs="Calibri" w:hAnsi="Calibri" w:eastAsia="Calibri" w:ascii="Calibri"/>
                <w:sz w:val="20"/>
              </w:rPr>
              <w:t xml:space="preserve">*</w:t>
            </w:r>
          </w:p>
          <w:p>
            <w:pPr>
              <w:spacing w:before="0" w:after="6"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556.00</w:t>
            </w:r>
          </w:p>
          <w:p>
            <w:pPr>
              <w:spacing w:before="0" w:after="0" w:line="259" w:lineRule="auto"/>
              <w:ind w:left="9" w:right="0" w:firstLine="0"/>
              <w:jc w:val="left"/>
            </w:pPr>
            <w:r>
              <w:rPr>
                <w:rFonts w:cs="Calibri" w:hAnsi="Calibri" w:eastAsia="Calibri" w:ascii="Calibri"/>
                <w:sz w:val="20"/>
              </w:rPr>
              <w:t xml:space="preserve">$*******7,800.00</w:t>
            </w:r>
            <w:r>
              <w:rPr>
                <w:rFonts w:cs="Calibri" w:hAnsi="Calibri" w:eastAsia="Calibri" w:ascii="Calibri"/>
                <w:sz w:val="20"/>
              </w:rPr>
              <w:t xml:space="preserve">*</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500.00</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438.00</w:t>
            </w:r>
          </w:p>
          <w:p>
            <w:pPr>
              <w:spacing w:before="0" w:after="0" w:line="256" w:lineRule="auto"/>
              <w:ind w:left="17" w:right="0" w:hanging="17"/>
              <w:jc w:val="left"/>
            </w:pPr>
            <w:r>
              <w:rPr>
                <w:rFonts w:cs="Calibri" w:hAnsi="Calibri" w:eastAsia="Calibri" w:ascii="Calibri"/>
                <w:sz w:val="20"/>
              </w:rPr>
              <w:t xml:space="preserve">$*************40.00</w:t>
            </w:r>
            <w:r>
              <w:rPr>
                <w:rFonts w:cs="Calibri" w:hAnsi="Calibri" w:eastAsia="Calibri" w:ascii="Calibri"/>
                <w:sz w:val="20"/>
              </w:rPr>
              <w:t xml:space="preserve">* </w:t>
            </w: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900.00 $**********</w:t>
            </w:r>
            <w:r>
              <w:rPr>
                <w:rFonts w:cs="Calibri" w:hAnsi="Calibri" w:eastAsia="Calibri" w:ascii="Calibri"/>
                <w:sz w:val="20"/>
              </w:rPr>
              <w:t xml:space="preserve">*</w:t>
            </w:r>
            <w:r>
              <w:rPr>
                <w:rFonts w:cs="Calibri" w:hAnsi="Calibri" w:eastAsia="Calibri" w:ascii="Calibri"/>
                <w:sz w:val="20"/>
              </w:rPr>
              <w:t xml:space="preserve">450.00</w:t>
            </w:r>
          </w:p>
          <w:p>
            <w:pPr>
              <w:spacing w:before="0" w:after="0" w:line="259" w:lineRule="auto"/>
              <w:ind w:left="9" w:right="0" w:firstLine="0"/>
              <w:jc w:val="left"/>
            </w:pPr>
            <w:r>
              <w:rPr>
                <w:rFonts w:cs="Calibri" w:hAnsi="Calibri" w:eastAsia="Calibri" w:ascii="Calibri"/>
                <w:sz w:val="20"/>
              </w:rPr>
              <w:t xml:space="preserve">$*******1,300.00</w:t>
            </w:r>
            <w:r>
              <w:rPr>
                <w:rFonts w:cs="Calibri" w:hAnsi="Calibri" w:eastAsia="Calibri" w:ascii="Calibri"/>
                <w:sz w:val="20"/>
              </w:rPr>
              <w:t xml:space="preserve">*</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910.00</w:t>
            </w:r>
          </w:p>
          <w:p>
            <w:pPr>
              <w:spacing w:before="0" w:after="0" w:line="259" w:lineRule="auto"/>
              <w:ind w:left="17"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365.00</w:t>
            </w:r>
          </w:p>
        </w:tc>
        <w:tc>
          <w:tcPr>
            <w:vMerge w:val="continue"/>
            <w:tcBorders>
              <w:top w:val="nil"/>
              <w:left w:val="nil"/>
              <w:bottom w:val="nil"/>
              <w:right w:val="nil"/>
            </w:tcBorders>
            <w:vAlign w:val="center"/>
          </w:tcPr>
          <w:p>
            <w:pPr>
              <w:bidi w:val="0"/>
              <w:spacing w:before="0" w:after="160" w:line="259" w:lineRule="auto"/>
              <w:ind w:left="0" w:right="0" w:firstLine="0"/>
              <w:jc w:val="left"/>
            </w:pPr>
          </w:p>
        </w:tc>
      </w:tr>
    </w:tbl>
    <w:p>
      <w:pPr>
        <w:spacing w:before="0" w:after="80" w:line="259" w:lineRule="auto"/>
        <w:ind w:left="5907" w:right="0"/>
        <w:jc w:val="left"/>
      </w:pPr>
      <w:r>
        <w:rPr>
          <w:rFonts w:cs="Calibri" w:hAnsi="Calibri" w:eastAsia="Calibri" w:ascii="Calibri"/>
          <w:sz w:val="20"/>
        </w:rPr>
        <w:t xml:space="preserve">1*OF*2</w:t>
      </w:r>
    </w:p>
    <w:tbl>
      <w:tblPr>
        <w:tblStyle w:val="TableGrid"/>
        <w:tblW w:w="12308" w:type="dxa"/>
        <w:tblInd w:w="-30" w:type="dxa"/>
        <w:tblCellMar>
          <w:top w:w="0" w:type="dxa"/>
          <w:left w:w="0" w:type="dxa"/>
          <w:bottom w:w="11" w:type="dxa"/>
          <w:right w:w="0" w:type="dxa"/>
        </w:tblCellMar>
      </w:tblPr>
      <w:tblGrid>
        <w:gridCol w:w="2867"/>
        <w:gridCol w:w="943"/>
        <w:gridCol w:w="2777"/>
        <w:gridCol w:w="1198"/>
        <w:gridCol w:w="575"/>
        <w:gridCol w:w="1392"/>
        <w:gridCol w:w="1201"/>
        <w:gridCol w:w="1354"/>
      </w:tblGrid>
      <w:tr>
        <w:trPr>
          <w:trHeight w:val="1789" w:hRule="atLeast"/>
        </w:trPr>
        <w:tc>
          <w:tcPr>
            <w:tcW w:w="2867" w:type="dxa"/>
            <w:vMerge w:val="restart"/>
            <w:tcBorders>
              <w:top w:val="nil"/>
              <w:left w:val="nil"/>
              <w:bottom w:val="nil"/>
              <w:right w:val="nil"/>
            </w:tcBorders>
            <w:vAlign w:val="top"/>
          </w:tcPr>
          <w:p>
            <w:pPr>
              <w:bidi w:val="0"/>
              <w:spacing w:before="0" w:after="160" w:line="259" w:lineRule="auto"/>
              <w:ind w:left="0" w:right="0" w:firstLine="0"/>
              <w:jc w:val="left"/>
            </w:pPr>
          </w:p>
        </w:tc>
        <w:tc>
          <w:tcPr>
            <w:tcW w:w="943" w:type="dxa"/>
            <w:vMerge w:val="restart"/>
            <w:tcBorders>
              <w:top w:val="nil"/>
              <w:left w:val="nil"/>
              <w:bottom w:val="nil"/>
              <w:right w:val="nil"/>
            </w:tcBorders>
            <w:vAlign w:val="top"/>
          </w:tcPr>
          <w:p>
            <w:pPr>
              <w:spacing w:before="0" w:after="518" w:line="259" w:lineRule="auto"/>
              <w:ind w:left="60" w:right="0" w:firstLine="0"/>
            </w:pPr>
            <w:r>
              <w:rPr>
                <w:rFonts w:cs="Calibri" w:hAnsi="Calibri" w:eastAsia="Calibri" w:ascii="Calibri"/>
                <w:sz w:val="20"/>
              </w:rPr>
              <w:t xml:space="preserve">Side*Chairs</w:t>
            </w:r>
          </w:p>
          <w:p>
            <w:pPr>
              <w:spacing w:before="0" w:after="0" w:line="259" w:lineRule="auto"/>
              <w:ind w:left="60" w:right="-716" w:firstLine="0"/>
              <w:jc w:val="left"/>
            </w:pPr>
            <w:r>
              <w:rPr>
                <w:rFonts w:cs="Calibri" w:hAnsi="Calibri" w:eastAsia="Calibri" w:ascii="Calibri"/>
                <w:sz w:val="20"/>
              </w:rPr>
              <w:t xml:space="preserve">File*Server*Software</w:t>
            </w:r>
          </w:p>
          <w:p>
            <w:pPr>
              <w:spacing w:before="0" w:after="236" w:line="259" w:lineRule="auto"/>
              <w:ind w:left="60" w:right="0" w:firstLine="0"/>
              <w:jc w:val="left"/>
            </w:pPr>
            <w:r>
              <w:rPr>
                <w:rFonts w:cs="Calibri" w:hAnsi="Calibri" w:eastAsia="Calibri" w:ascii="Calibri"/>
                <w:sz w:val="20"/>
              </w:rPr>
              <w:t xml:space="preserve">23</w:t>
            </w:r>
          </w:p>
          <w:p>
            <w:pPr>
              <w:spacing w:before="0" w:after="0" w:line="259" w:lineRule="auto"/>
              <w:ind w:left="60" w:right="0" w:firstLine="0"/>
            </w:pPr>
            <w:r>
              <w:rPr>
                <w:rFonts w:cs="Calibri" w:hAnsi="Calibri" w:eastAsia="Calibri" w:ascii="Calibri"/>
                <w:sz w:val="20"/>
              </w:rPr>
              <w:t xml:space="preserve">Vehicles3F</w:t>
            </w:r>
          </w:p>
        </w:tc>
        <w:tc>
          <w:tcPr>
            <w:tcW w:w="2777" w:type="dxa"/>
            <w:vMerge w:val="restart"/>
            <w:tcBorders>
              <w:top w:val="nil"/>
              <w:left w:val="nil"/>
              <w:bottom w:val="nil"/>
              <w:right w:val="nil"/>
            </w:tcBorders>
            <w:vAlign w:val="top"/>
          </w:tcPr>
          <w:p>
            <w:pPr>
              <w:spacing w:before="0" w:after="244" w:line="265" w:lineRule="auto"/>
              <w:ind w:left="-623" w:right="0" w:hanging="320"/>
              <w:jc w:val="left"/>
            </w:pPr>
            <w:r>
              <w:rPr>
                <w:rFonts w:cs="Calibri" w:hAnsi="Calibri" w:eastAsia="Calibri" w:ascii="Calibri"/>
                <w:sz w:val="20"/>
              </w:rPr>
              <w:t xml:space="preserve">*Conference*Table*(15*3*20*People)* File*Server*&amp;*Peripherals*for*WLAN</w:t>
            </w:r>
          </w:p>
          <w:p>
            <w:pPr>
              <w:spacing w:before="0" w:after="0" w:line="259" w:lineRule="auto"/>
              <w:ind w:left="-724" w:right="0" w:firstLine="0"/>
              <w:jc w:val="left"/>
            </w:pPr>
            <w:r>
              <w:rPr>
                <w:rFonts w:cs="Calibri" w:hAnsi="Calibri" w:eastAsia="Calibri" w:ascii="Calibri"/>
                <w:sz w:val="20"/>
              </w:rPr>
              <w:t xml:space="preserve">Drawer*File*Cabinet</w:t>
            </w:r>
          </w:p>
          <w:p>
            <w:pPr>
              <w:spacing w:before="0" w:after="0" w:line="259" w:lineRule="auto"/>
              <w:ind w:left="-73" w:right="0" w:hanging="811"/>
              <w:jc w:val="left"/>
            </w:pPr>
            <w:r>
              <w:rPr>
                <w:rFonts w:cs="Calibri" w:hAnsi="Calibri" w:eastAsia="Calibri" w:ascii="Calibri"/>
                <w:sz w:val="20"/>
              </w:rPr>
              <w:t xml:space="preserve">Vehicles*3*Ford*Everest*Type* ord*Ranger*D/Cab*Pickups*</w:t>
            </w:r>
          </w:p>
        </w:tc>
        <w:tc>
          <w:tcPr>
            <w:tcW w:w="1198" w:type="dxa"/>
            <w:vMerge w:val="restart"/>
            <w:tcBorders>
              <w:top w:val="nil"/>
              <w:left w:val="nil"/>
              <w:bottom w:val="nil"/>
              <w:right w:val="nil"/>
            </w:tcBorders>
            <w:vAlign w:val="top"/>
          </w:tcPr>
          <w:p>
            <w:pPr>
              <w:spacing w:before="0" w:after="6" w:line="259" w:lineRule="auto"/>
              <w:ind w:left="77" w:right="0" w:firstLine="0"/>
              <w:jc w:val="left"/>
            </w:pPr>
            <w:r>
              <w:rPr>
                <w:rFonts w:cs="Calibri" w:hAnsi="Calibri" w:eastAsia="Calibri" w:ascii="Calibri"/>
                <w:sz w:val="20"/>
              </w:rPr>
              <w:t xml:space="preserve">Ea.</w:t>
            </w:r>
          </w:p>
          <w:p>
            <w:pPr>
              <w:spacing w:before="0" w:after="6"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p>
            <w:pPr>
              <w:spacing w:before="0" w:after="0" w:line="259" w:lineRule="auto"/>
              <w:ind w:left="77" w:right="0" w:firstLine="0"/>
              <w:jc w:val="left"/>
            </w:pPr>
            <w:r>
              <w:rPr>
                <w:rFonts w:cs="Calibri" w:hAnsi="Calibri" w:eastAsia="Calibri" w:ascii="Calibri"/>
                <w:sz w:val="20"/>
              </w:rPr>
              <w:t xml:space="preserve">Ea.</w:t>
            </w:r>
          </w:p>
        </w:tc>
        <w:tc>
          <w:tcPr>
            <w:tcW w:w="1968" w:type="dxa"/>
            <w:gridSpan w:val="2"/>
            <w:tcBorders>
              <w:top w:val="nil"/>
              <w:left w:val="nil"/>
              <w:bottom w:val="double" w:sz="7" w:color="000000"/>
              <w:right w:val="nil"/>
            </w:tcBorders>
            <w:vAlign w:val="top"/>
          </w:tcPr>
          <w:p>
            <w:pPr>
              <w:spacing w:before="0" w:after="6" w:line="259" w:lineRule="auto"/>
              <w:ind w:left="575" w:right="0" w:firstLine="0"/>
              <w:jc w:val="left"/>
            </w:pPr>
            <w:r>
              <w:rPr>
                <w:rFonts w:cs="Calibri" w:hAnsi="Calibri" w:eastAsia="Calibri" w:ascii="Calibri"/>
                <w:sz w:val="20"/>
              </w:rPr>
              <w:t xml:space="preserve">23</w:t>
            </w:r>
          </w:p>
          <w:p>
            <w:pPr>
              <w:spacing w:before="0" w:after="6" w:line="259" w:lineRule="auto"/>
              <w:ind w:left="627" w:right="0" w:firstLine="0"/>
              <w:jc w:val="left"/>
            </w:pPr>
            <w:r>
              <w:rPr>
                <w:rFonts w:cs="Calibri" w:hAnsi="Calibri" w:eastAsia="Calibri" w:ascii="Calibri"/>
                <w:sz w:val="20"/>
              </w:rPr>
              <w:t xml:space="preserve">1</w:t>
            </w:r>
          </w:p>
          <w:p>
            <w:pPr>
              <w:spacing w:before="0" w:after="0" w:line="259" w:lineRule="auto"/>
              <w:ind w:left="627" w:right="0" w:firstLine="0"/>
              <w:jc w:val="left"/>
            </w:pPr>
            <w:r>
              <w:rPr>
                <w:rFonts w:cs="Calibri" w:hAnsi="Calibri" w:eastAsia="Calibri" w:ascii="Calibri"/>
                <w:sz w:val="20"/>
              </w:rPr>
              <w:t xml:space="preserve">1</w:t>
            </w:r>
          </w:p>
          <w:p>
            <w:pPr>
              <w:spacing w:before="0" w:after="0" w:line="259" w:lineRule="auto"/>
              <w:ind w:left="627" w:right="0" w:firstLine="0"/>
              <w:jc w:val="left"/>
            </w:pPr>
            <w:r>
              <w:rPr>
                <w:rFonts w:cs="Calibri" w:hAnsi="Calibri" w:eastAsia="Calibri" w:ascii="Calibri"/>
                <w:sz w:val="20"/>
              </w:rPr>
              <w:t xml:space="preserve">1</w:t>
            </w:r>
          </w:p>
          <w:p>
            <w:pPr>
              <w:spacing w:before="0" w:after="0" w:line="259" w:lineRule="auto"/>
              <w:ind w:left="575" w:right="0" w:firstLine="0"/>
              <w:jc w:val="left"/>
            </w:pPr>
            <w:r>
              <w:rPr>
                <w:rFonts w:cs="Calibri" w:hAnsi="Calibri" w:eastAsia="Calibri" w:ascii="Calibri"/>
                <w:sz w:val="20"/>
              </w:rPr>
              <w:t xml:space="preserve">25</w:t>
            </w:r>
          </w:p>
          <w:p>
            <w:pPr>
              <w:spacing w:before="0" w:after="0" w:line="259" w:lineRule="auto"/>
              <w:ind w:left="627" w:right="0" w:firstLine="0"/>
              <w:jc w:val="left"/>
            </w:pPr>
            <w:r>
              <w:rPr>
                <w:rFonts w:cs="Calibri" w:hAnsi="Calibri" w:eastAsia="Calibri" w:ascii="Calibri"/>
                <w:sz w:val="20"/>
              </w:rPr>
              <w:t xml:space="preserve">1</w:t>
            </w:r>
          </w:p>
          <w:p>
            <w:pPr>
              <w:spacing w:before="0" w:after="0" w:line="259" w:lineRule="auto"/>
              <w:ind w:left="627" w:right="0" w:firstLine="0"/>
              <w:jc w:val="left"/>
            </w:pPr>
            <w:r>
              <w:rPr>
                <w:rFonts w:cs="Calibri" w:hAnsi="Calibri" w:eastAsia="Calibri" w:ascii="Calibri"/>
                <w:sz w:val="20"/>
              </w:rPr>
              <w:t xml:space="preserve">2</w:t>
            </w:r>
          </w:p>
        </w:tc>
        <w:tc>
          <w:tcPr>
            <w:tcW w:w="1201" w:type="dxa"/>
            <w:tcBorders>
              <w:top w:val="nil"/>
              <w:left w:val="nil"/>
              <w:bottom w:val="double" w:sz="7" w:color="000000"/>
              <w:right w:val="nil"/>
            </w:tcBorders>
            <w:vAlign w:val="top"/>
          </w:tcPr>
          <w:p>
            <w:pPr>
              <w:spacing w:before="0" w:after="0" w:line="265" w:lineRule="auto"/>
              <w:ind w:left="4" w:right="0" w:firstLine="9"/>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315.00 $*******2,539.00</w:t>
            </w:r>
            <w:r>
              <w:rPr>
                <w:rFonts w:cs="Calibri" w:hAnsi="Calibri" w:eastAsia="Calibri" w:ascii="Calibri"/>
                <w:sz w:val="20"/>
              </w:rPr>
              <w:t xml:space="preserve">*</w:t>
            </w:r>
          </w:p>
          <w:p>
            <w:pPr>
              <w:spacing w:before="0" w:after="0" w:line="259" w:lineRule="auto"/>
              <w:ind w:left="0" w:right="0" w:firstLine="0"/>
              <w:jc w:val="left"/>
            </w:pPr>
            <w:r>
              <w:rPr>
                <w:rFonts w:cs="Calibri" w:hAnsi="Calibri" w:eastAsia="Calibri" w:ascii="Calibri"/>
                <w:sz w:val="20"/>
              </w:rPr>
              <w:t xml:space="preserve">$*****25,000.00</w:t>
            </w:r>
            <w:r>
              <w:rPr>
                <w:rFonts w:cs="Calibri" w:hAnsi="Calibri" w:eastAsia="Calibri" w:ascii="Calibri"/>
                <w:sz w:val="20"/>
              </w:rPr>
              <w:t xml:space="preserve">*</w:t>
            </w:r>
          </w:p>
          <w:p>
            <w:pPr>
              <w:spacing w:before="0" w:after="0" w:line="259" w:lineRule="auto"/>
              <w:ind w:left="4" w:right="0" w:firstLine="0"/>
              <w:jc w:val="left"/>
            </w:pPr>
            <w:r>
              <w:rPr>
                <w:rFonts w:cs="Calibri" w:hAnsi="Calibri" w:eastAsia="Calibri" w:ascii="Calibri"/>
                <w:sz w:val="20"/>
              </w:rPr>
              <w:t xml:space="preserve">$*******5,000.00</w:t>
            </w:r>
            <w:r>
              <w:rPr>
                <w:rFonts w:cs="Calibri" w:hAnsi="Calibri" w:eastAsia="Calibri" w:ascii="Calibri"/>
                <w:sz w:val="20"/>
              </w:rPr>
              <w:t xml:space="preserve">*</w:t>
            </w:r>
          </w:p>
          <w:p>
            <w:pPr>
              <w:spacing w:before="0" w:after="0" w:line="259" w:lineRule="auto"/>
              <w:ind w:left="13" w:right="0" w:firstLine="0"/>
              <w:jc w:val="left"/>
            </w:pPr>
            <w:r>
              <w:rPr>
                <w:rFonts w:cs="Calibri" w:hAnsi="Calibri" w:eastAsia="Calibri" w:ascii="Calibri"/>
                <w:sz w:val="20"/>
              </w:rPr>
              <w:t xml:space="preserve">$**********</w:t>
            </w:r>
            <w:r>
              <w:rPr>
                <w:rFonts w:cs="Calibri" w:hAnsi="Calibri" w:eastAsia="Calibri" w:ascii="Calibri"/>
                <w:sz w:val="20"/>
              </w:rPr>
              <w:t xml:space="preserve">*</w:t>
            </w:r>
            <w:r>
              <w:rPr>
                <w:rFonts w:cs="Calibri" w:hAnsi="Calibri" w:eastAsia="Calibri" w:ascii="Calibri"/>
                <w:sz w:val="20"/>
              </w:rPr>
              <w:t xml:space="preserve">563.00</w:t>
            </w:r>
          </w:p>
          <w:p>
            <w:pPr>
              <w:spacing w:before="0" w:after="0" w:line="259" w:lineRule="auto"/>
              <w:ind w:left="0" w:right="0" w:firstLine="0"/>
              <w:jc w:val="left"/>
            </w:pPr>
            <w:r>
              <w:rPr>
                <w:rFonts w:cs="Calibri" w:hAnsi="Calibri" w:eastAsia="Calibri" w:ascii="Calibri"/>
                <w:sz w:val="20"/>
              </w:rPr>
              <w:t xml:space="preserve">$*****30,000.00</w:t>
            </w:r>
            <w:r>
              <w:rPr>
                <w:rFonts w:cs="Calibri" w:hAnsi="Calibri" w:eastAsia="Calibri" w:ascii="Calibri"/>
                <w:sz w:val="20"/>
              </w:rPr>
              <w:t xml:space="preserve">*</w:t>
            </w:r>
          </w:p>
          <w:p>
            <w:pPr>
              <w:spacing w:before="0" w:after="0" w:line="259" w:lineRule="auto"/>
              <w:ind w:left="0" w:right="0" w:firstLine="0"/>
              <w:jc w:val="left"/>
            </w:pPr>
            <w:r>
              <w:rPr>
                <w:rFonts w:cs="Calibri" w:hAnsi="Calibri" w:eastAsia="Calibri" w:ascii="Calibri"/>
                <w:sz w:val="20"/>
              </w:rPr>
              <w:t xml:space="preserve">$*****26,000.00</w:t>
            </w:r>
            <w:r>
              <w:rPr>
                <w:rFonts w:cs="Calibri" w:hAnsi="Calibri" w:eastAsia="Calibri" w:ascii="Calibri"/>
                <w:sz w:val="20"/>
              </w:rPr>
              <w:t xml:space="preserve">*</w:t>
            </w:r>
          </w:p>
        </w:tc>
        <w:tc>
          <w:tcPr>
            <w:tcW w:w="1354" w:type="dxa"/>
            <w:tcBorders>
              <w:top w:val="nil"/>
              <w:left w:val="nil"/>
              <w:bottom w:val="double" w:sz="7" w:color="000000"/>
              <w:right w:val="nil"/>
            </w:tcBorders>
            <w:vAlign w:val="top"/>
          </w:tcPr>
          <w:p>
            <w:pPr>
              <w:spacing w:before="0" w:after="6" w:line="259" w:lineRule="auto"/>
              <w:ind w:left="0" w:right="33" w:firstLine="0"/>
              <w:jc w:val="right"/>
            </w:pPr>
            <w:r>
              <w:rPr>
                <w:rFonts w:cs="Calibri" w:hAnsi="Calibri" w:eastAsia="Calibri" w:ascii="Calibri"/>
                <w:sz w:val="20"/>
              </w:rPr>
              <w:t xml:space="preserve">$7,245.00</w:t>
            </w:r>
          </w:p>
          <w:p>
            <w:pPr>
              <w:spacing w:before="0" w:after="6" w:line="259" w:lineRule="auto"/>
              <w:ind w:left="0" w:right="33" w:firstLine="0"/>
              <w:jc w:val="right"/>
            </w:pPr>
            <w:r>
              <w:rPr>
                <w:rFonts w:cs="Calibri" w:hAnsi="Calibri" w:eastAsia="Calibri" w:ascii="Calibri"/>
                <w:sz w:val="20"/>
              </w:rPr>
              <w:t xml:space="preserve">$2,539.00</w:t>
            </w:r>
          </w:p>
          <w:p>
            <w:pPr>
              <w:spacing w:before="0" w:after="0" w:line="259" w:lineRule="auto"/>
              <w:ind w:left="0" w:right="31" w:firstLine="0"/>
              <w:jc w:val="right"/>
            </w:pPr>
            <w:r>
              <w:rPr>
                <w:rFonts w:cs="Calibri" w:hAnsi="Calibri" w:eastAsia="Calibri" w:ascii="Calibri"/>
                <w:sz w:val="20"/>
              </w:rPr>
              <w:t xml:space="preserve">$25,000.00</w:t>
            </w:r>
          </w:p>
          <w:p>
            <w:pPr>
              <w:spacing w:before="0" w:after="0" w:line="248" w:lineRule="auto"/>
              <w:ind w:left="427" w:right="0" w:firstLine="98"/>
              <w:jc w:val="left"/>
            </w:pPr>
            <w:r>
              <w:rPr>
                <w:rFonts w:cs="Calibri" w:hAnsi="Calibri" w:eastAsia="Calibri" w:ascii="Calibri"/>
                <w:sz w:val="20"/>
              </w:rPr>
              <w:t xml:space="preserve">$5,000.00 $14,075.00</w:t>
            </w:r>
          </w:p>
          <w:p>
            <w:pPr>
              <w:spacing w:before="0" w:after="0" w:line="259" w:lineRule="auto"/>
              <w:ind w:left="0" w:right="31" w:firstLine="0"/>
              <w:jc w:val="right"/>
            </w:pPr>
            <w:r>
              <w:rPr>
                <w:rFonts w:cs="Calibri" w:hAnsi="Calibri" w:eastAsia="Calibri" w:ascii="Calibri"/>
                <w:sz w:val="20"/>
              </w:rPr>
              <w:t xml:space="preserve">$30,000.00</w:t>
            </w:r>
          </w:p>
          <w:p>
            <w:pPr>
              <w:spacing w:before="0" w:after="0" w:line="259" w:lineRule="auto"/>
              <w:ind w:left="0" w:right="31" w:firstLine="0"/>
              <w:jc w:val="right"/>
            </w:pPr>
            <w:r>
              <w:rPr>
                <w:rFonts w:cs="Calibri" w:hAnsi="Calibri" w:eastAsia="Calibri" w:ascii="Calibri"/>
                <w:sz w:val="20"/>
              </w:rPr>
              <w:t xml:space="preserve">$52,000.00</w:t>
            </w:r>
          </w:p>
        </w:tc>
      </w:tr>
      <w:tr>
        <w:trPr>
          <w:trHeight w:val="760"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1968" w:type="dxa"/>
            <w:gridSpan w:val="2"/>
            <w:tcBorders>
              <w:top w:val="double" w:sz="7" w:color="000000"/>
              <w:left w:val="nil"/>
              <w:bottom w:val="nil"/>
              <w:right w:val="nil"/>
            </w:tcBorders>
            <w:vAlign w:val="top"/>
          </w:tcPr>
          <w:p>
            <w:pPr>
              <w:spacing w:before="0" w:after="0" w:line="259" w:lineRule="auto"/>
              <w:ind w:left="0" w:right="0" w:firstLine="0"/>
              <w:jc w:val="left"/>
            </w:pPr>
            <w:r>
              <w:rPr>
                <w:rFonts w:cs="Calibri" w:hAnsi="Calibri" w:eastAsia="Calibri" w:ascii="Calibri"/>
                <w:b w:val="1"/>
                <w:sz w:val="20"/>
              </w:rPr>
              <w:t xml:space="preserve">Sub(Total(Fixed(Costs:</w:t>
            </w:r>
          </w:p>
        </w:tc>
        <w:tc>
          <w:tcPr>
            <w:tcW w:w="1201" w:type="dxa"/>
            <w:tcBorders>
              <w:top w:val="double" w:sz="7" w:color="000000"/>
              <w:left w:val="nil"/>
              <w:bottom w:val="nil"/>
              <w:right w:val="nil"/>
            </w:tcBorders>
            <w:vAlign w:val="bottom"/>
          </w:tcPr>
          <w:p>
            <w:pPr>
              <w:spacing w:before="0" w:after="0" w:line="259" w:lineRule="auto"/>
              <w:ind w:left="360" w:right="0" w:firstLine="0"/>
              <w:jc w:val="left"/>
            </w:pPr>
            <w:r>
              <w:rPr>
                <w:rFonts w:cs="Calibri" w:hAnsi="Calibri" w:eastAsia="Calibri" w:ascii="Calibri"/>
                <w:b w:val="1"/>
                <w:sz w:val="20"/>
              </w:rPr>
              <w:t xml:space="preserve">Subtotal:</w:t>
            </w:r>
          </w:p>
        </w:tc>
        <w:tc>
          <w:tcPr>
            <w:tcW w:w="1354" w:type="dxa"/>
            <w:tcBorders>
              <w:top w:val="double" w:sz="7" w:color="000000"/>
              <w:left w:val="nil"/>
              <w:bottom w:val="nil"/>
              <w:right w:val="nil"/>
            </w:tcBorders>
            <w:vAlign w:val="top"/>
          </w:tcPr>
          <w:p>
            <w:pPr>
              <w:spacing w:before="0" w:after="236" w:line="259" w:lineRule="auto"/>
              <w:ind w:left="0" w:right="34" w:firstLine="0"/>
              <w:jc w:val="right"/>
            </w:pPr>
            <w:r>
              <w:rPr>
                <w:rFonts w:cs="Calibri" w:hAnsi="Calibri" w:eastAsia="Calibri" w:ascii="Calibri"/>
                <w:b w:val="1"/>
                <w:sz w:val="20"/>
              </w:rPr>
              <w:t xml:space="preserve">$246,364.00</w:t>
            </w:r>
          </w:p>
          <w:p>
            <w:pPr>
              <w:spacing w:before="0" w:after="0" w:line="259" w:lineRule="auto"/>
              <w:ind w:left="0" w:right="34" w:firstLine="0"/>
              <w:jc w:val="right"/>
            </w:pPr>
            <w:r>
              <w:rPr>
                <w:rFonts w:cs="Calibri" w:hAnsi="Calibri" w:eastAsia="Calibri" w:ascii="Calibri"/>
                <w:b w:val="1"/>
                <w:sz w:val="20"/>
              </w:rPr>
              <w:t xml:space="preserve">$492,164.00</w:t>
            </w:r>
          </w:p>
        </w:tc>
      </w:tr>
      <w:tr>
        <w:trPr>
          <w:trHeight w:val="252" w:hRule="atLeast"/>
        </w:trPr>
        <w:tc>
          <w:tcPr>
            <w:tcW w:w="2867" w:type="dxa"/>
            <w:tcBorders>
              <w:top w:val="nil"/>
              <w:left w:val="nil"/>
              <w:bottom w:val="nil"/>
              <w:right w:val="nil"/>
            </w:tcBorders>
            <w:shd w:val="clear" w:fill="dce6f1"/>
            <w:vAlign w:val="top"/>
          </w:tcPr>
          <w:p>
            <w:pPr>
              <w:spacing w:before="0" w:after="0" w:line="259" w:lineRule="auto"/>
              <w:ind w:left="95" w:right="0" w:firstLine="0"/>
              <w:jc w:val="left"/>
            </w:pPr>
            <w:r>
              <w:rPr>
                <w:rFonts w:cs="Calibri" w:hAnsi="Calibri" w:eastAsia="Calibri" w:ascii="Calibri"/>
                <w:b w:val="1"/>
                <w:sz w:val="20"/>
              </w:rPr>
              <w:t xml:space="preserve">Staff(Costs(</w:t>
            </w:r>
          </w:p>
        </w:tc>
        <w:tc>
          <w:tcPr>
            <w:tcW w:w="943"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2777"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198"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575"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9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20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54"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3584" w:hRule="atLeast"/>
        </w:trPr>
        <w:tc>
          <w:tcPr>
            <w:tcW w:w="2867" w:type="dxa"/>
            <w:vMerge w:val="restart"/>
            <w:tcBorders>
              <w:top w:val="nil"/>
              <w:left w:val="nil"/>
              <w:bottom w:val="nil"/>
              <w:right w:val="nil"/>
            </w:tcBorders>
            <w:vAlign w:val="top"/>
          </w:tcPr>
          <w:p>
            <w:pPr>
              <w:spacing w:before="0" w:after="0" w:line="259" w:lineRule="auto"/>
              <w:ind w:left="94" w:right="0" w:firstLine="0"/>
              <w:jc w:val="left"/>
            </w:pPr>
            <w:r>
              <w:rPr>
                <w:rFonts w:cs="Calibri" w:hAnsi="Calibri" w:eastAsia="Calibri" w:ascii="Calibri"/>
                <w:sz w:val="20"/>
              </w:rPr>
              <w:t xml:space="preserve">A.</w:t>
            </w:r>
          </w:p>
          <w:p>
            <w:pPr>
              <w:spacing w:before="0" w:after="0" w:line="265" w:lineRule="auto"/>
              <w:ind w:left="94" w:right="2462" w:firstLine="0"/>
              <w:jc w:val="left"/>
            </w:pPr>
            <w:r>
              <w:rPr>
                <w:rFonts w:cs="Calibri" w:hAnsi="Calibri" w:eastAsia="Calibri" w:ascii="Calibri"/>
                <w:sz w:val="20"/>
              </w:rPr>
              <w:t xml:space="preserve">B. C.</w:t>
            </w:r>
          </w:p>
          <w:p>
            <w:pPr>
              <w:spacing w:before="0" w:after="0" w:line="259" w:lineRule="auto"/>
              <w:ind w:left="94" w:right="0" w:firstLine="0"/>
              <w:jc w:val="left"/>
            </w:pPr>
            <w:r>
              <w:rPr>
                <w:rFonts w:cs="Calibri" w:hAnsi="Calibri" w:eastAsia="Calibri" w:ascii="Calibri"/>
                <w:sz w:val="20"/>
              </w:rPr>
              <w:t xml:space="preserve">D.</w:t>
            </w:r>
          </w:p>
          <w:p>
            <w:pPr>
              <w:spacing w:before="0" w:after="0" w:line="259" w:lineRule="auto"/>
              <w:ind w:left="94" w:right="0" w:firstLine="0"/>
              <w:jc w:val="left"/>
            </w:pPr>
            <w:r>
              <w:rPr>
                <w:rFonts w:cs="Calibri" w:hAnsi="Calibri" w:eastAsia="Calibri" w:ascii="Calibri"/>
                <w:sz w:val="20"/>
              </w:rPr>
              <w:t xml:space="preserve">E.</w:t>
            </w:r>
          </w:p>
          <w:p>
            <w:pPr>
              <w:spacing w:before="0" w:after="6" w:line="259" w:lineRule="auto"/>
              <w:ind w:left="94" w:right="0" w:firstLine="0"/>
              <w:jc w:val="left"/>
            </w:pPr>
            <w:r>
              <w:rPr>
                <w:rFonts w:cs="Calibri" w:hAnsi="Calibri" w:eastAsia="Calibri" w:ascii="Calibri"/>
                <w:sz w:val="20"/>
              </w:rPr>
              <w:t xml:space="preserve">F.</w:t>
            </w:r>
          </w:p>
          <w:p>
            <w:pPr>
              <w:spacing w:before="0" w:after="0" w:line="265" w:lineRule="auto"/>
              <w:ind w:left="94" w:right="2427" w:firstLine="0"/>
              <w:jc w:val="left"/>
            </w:pPr>
            <w:r>
              <w:rPr>
                <w:rFonts w:cs="Calibri" w:hAnsi="Calibri" w:eastAsia="Calibri" w:ascii="Calibri"/>
                <w:sz w:val="20"/>
              </w:rPr>
              <w:t xml:space="preserve">G. H.</w:t>
            </w:r>
          </w:p>
          <w:p>
            <w:pPr>
              <w:spacing w:before="0" w:after="6" w:line="259" w:lineRule="auto"/>
              <w:ind w:left="94" w:right="0" w:firstLine="0"/>
              <w:jc w:val="left"/>
            </w:pPr>
            <w:r>
              <w:rPr>
                <w:rFonts w:cs="Calibri" w:hAnsi="Calibri" w:eastAsia="Calibri" w:ascii="Calibri"/>
                <w:sz w:val="20"/>
              </w:rPr>
              <w:t xml:space="preserve">I.</w:t>
            </w:r>
          </w:p>
          <w:p>
            <w:pPr>
              <w:spacing w:before="0" w:after="0" w:line="259" w:lineRule="auto"/>
              <w:ind w:left="94" w:right="0" w:firstLine="0"/>
              <w:jc w:val="left"/>
            </w:pPr>
            <w:r>
              <w:rPr>
                <w:rFonts w:cs="Calibri" w:hAnsi="Calibri" w:eastAsia="Calibri" w:ascii="Calibri"/>
                <w:sz w:val="20"/>
              </w:rPr>
              <w:t xml:space="preserve">J.</w:t>
            </w:r>
          </w:p>
          <w:p>
            <w:pPr>
              <w:spacing w:before="0" w:after="0" w:line="259" w:lineRule="auto"/>
              <w:ind w:left="94" w:right="0" w:firstLine="0"/>
              <w:jc w:val="left"/>
            </w:pPr>
            <w:r>
              <w:rPr>
                <w:rFonts w:cs="Calibri" w:hAnsi="Calibri" w:eastAsia="Calibri" w:ascii="Calibri"/>
                <w:sz w:val="20"/>
              </w:rPr>
              <w:t xml:space="preserve">K.</w:t>
            </w:r>
          </w:p>
          <w:p>
            <w:pPr>
              <w:spacing w:before="0" w:after="0" w:line="259" w:lineRule="auto"/>
              <w:ind w:left="94" w:right="0" w:firstLine="0"/>
              <w:jc w:val="left"/>
            </w:pPr>
            <w:r>
              <w:rPr>
                <w:rFonts w:cs="Calibri" w:hAnsi="Calibri" w:eastAsia="Calibri" w:ascii="Calibri"/>
                <w:sz w:val="20"/>
              </w:rPr>
              <w:t xml:space="preserve">L.</w:t>
            </w:r>
          </w:p>
          <w:p>
            <w:pPr>
              <w:spacing w:before="0" w:after="0" w:line="259" w:lineRule="auto"/>
              <w:ind w:left="94" w:right="0" w:firstLine="0"/>
              <w:jc w:val="left"/>
            </w:pPr>
            <w:r>
              <w:rPr>
                <w:rFonts w:cs="Calibri" w:hAnsi="Calibri" w:eastAsia="Calibri" w:ascii="Calibri"/>
                <w:sz w:val="20"/>
              </w:rPr>
              <w:t xml:space="preserve">M.</w:t>
            </w:r>
          </w:p>
          <w:p>
            <w:pPr>
              <w:spacing w:before="0" w:after="0" w:line="259" w:lineRule="auto"/>
              <w:ind w:left="94" w:right="0" w:firstLine="0"/>
              <w:jc w:val="left"/>
            </w:pPr>
            <w:r>
              <w:rPr>
                <w:rFonts w:cs="Calibri" w:hAnsi="Calibri" w:eastAsia="Calibri" w:ascii="Calibri"/>
                <w:sz w:val="20"/>
              </w:rPr>
              <w:t xml:space="preserve">N.</w:t>
            </w:r>
          </w:p>
        </w:tc>
        <w:tc>
          <w:tcPr>
            <w:tcW w:w="943" w:type="dxa"/>
            <w:vMerge w:val="restart"/>
            <w:tcBorders>
              <w:top w:val="nil"/>
              <w:left w:val="nil"/>
              <w:bottom w:val="nil"/>
              <w:right w:val="nil"/>
            </w:tcBorders>
            <w:vAlign w:val="top"/>
          </w:tcPr>
          <w:p>
            <w:pPr>
              <w:spacing w:before="0" w:after="0" w:line="259" w:lineRule="auto"/>
              <w:ind w:left="0" w:right="70" w:firstLine="0"/>
              <w:jc w:val="right"/>
            </w:pPr>
            <w:r>
              <w:rPr>
                <w:rFonts w:cs="Calibri" w:hAnsi="Calibri" w:eastAsia="Calibri" w:ascii="Calibri"/>
                <w:sz w:val="20"/>
              </w:rPr>
              <w:t xml:space="preserve">60%</w:t>
            </w:r>
          </w:p>
          <w:p>
            <w:pPr>
              <w:spacing w:before="0" w:after="0" w:line="259" w:lineRule="auto"/>
              <w:ind w:left="436" w:right="0" w:firstLine="0"/>
              <w:jc w:val="left"/>
            </w:pPr>
            <w:r>
              <w:rPr>
                <w:rFonts w:cs="Calibri" w:hAnsi="Calibri" w:eastAsia="Calibri" w:ascii="Calibri"/>
                <w:sz w:val="20"/>
              </w:rPr>
              <w:t xml:space="preserve">100%</w:t>
            </w:r>
          </w:p>
          <w:p>
            <w:pPr>
              <w:spacing w:before="0" w:after="262" w:line="259" w:lineRule="auto"/>
              <w:ind w:left="0" w:right="70" w:firstLine="0"/>
              <w:jc w:val="right"/>
            </w:pPr>
            <w:r>
              <w:rPr>
                <w:rFonts w:cs="Calibri" w:hAnsi="Calibri" w:eastAsia="Calibri" w:ascii="Calibri"/>
                <w:sz w:val="20"/>
              </w:rPr>
              <w:t xml:space="preserve">60%</w:t>
            </w:r>
          </w:p>
          <w:p>
            <w:pPr>
              <w:spacing w:before="0" w:after="0" w:line="259" w:lineRule="auto"/>
              <w:ind w:left="436" w:right="0" w:firstLine="0"/>
              <w:jc w:val="left"/>
            </w:pPr>
            <w:r>
              <w:rPr>
                <w:rFonts w:cs="Calibri" w:hAnsi="Calibri" w:eastAsia="Calibri" w:ascii="Calibri"/>
                <w:sz w:val="20"/>
              </w:rPr>
              <w:t xml:space="preserve">100%</w:t>
            </w:r>
          </w:p>
          <w:p>
            <w:pPr>
              <w:spacing w:before="0" w:after="6" w:line="259" w:lineRule="auto"/>
              <w:ind w:left="436" w:right="0" w:firstLine="0"/>
              <w:jc w:val="left"/>
            </w:pPr>
            <w:r>
              <w:rPr>
                <w:rFonts w:cs="Calibri" w:hAnsi="Calibri" w:eastAsia="Calibri" w:ascii="Calibri"/>
                <w:sz w:val="20"/>
              </w:rPr>
              <w:t xml:space="preserve">100%</w:t>
            </w:r>
          </w:p>
          <w:p>
            <w:pPr>
              <w:spacing w:before="0" w:after="271" w:line="259" w:lineRule="auto"/>
              <w:ind w:left="436" w:right="0" w:firstLine="0"/>
              <w:jc w:val="left"/>
            </w:pPr>
            <w:r>
              <w:rPr>
                <w:rFonts w:cs="Calibri" w:hAnsi="Calibri" w:eastAsia="Calibri" w:ascii="Calibri"/>
                <w:sz w:val="20"/>
              </w:rPr>
              <w:t xml:space="preserve">100%</w:t>
            </w:r>
          </w:p>
          <w:p>
            <w:pPr>
              <w:spacing w:before="0" w:after="254" w:line="259" w:lineRule="auto"/>
              <w:ind w:left="436" w:right="0" w:firstLine="0"/>
              <w:jc w:val="left"/>
            </w:pPr>
            <w:r>
              <w:rPr>
                <w:rFonts w:cs="Calibri" w:hAnsi="Calibri" w:eastAsia="Calibri" w:ascii="Calibri"/>
                <w:sz w:val="20"/>
              </w:rPr>
              <w:t xml:space="preserve">100%</w:t>
            </w:r>
          </w:p>
          <w:p>
            <w:pPr>
              <w:spacing w:before="0" w:after="0" w:line="259" w:lineRule="auto"/>
              <w:ind w:left="436" w:right="0" w:firstLine="0"/>
              <w:jc w:val="left"/>
            </w:pPr>
            <w:r>
              <w:rPr>
                <w:rFonts w:cs="Calibri" w:hAnsi="Calibri" w:eastAsia="Calibri" w:ascii="Calibri"/>
                <w:sz w:val="20"/>
              </w:rPr>
              <w:t xml:space="preserve">100%</w:t>
            </w:r>
          </w:p>
          <w:p>
            <w:pPr>
              <w:spacing w:before="0" w:after="0" w:line="259" w:lineRule="auto"/>
              <w:ind w:left="436" w:right="0" w:firstLine="0"/>
              <w:jc w:val="left"/>
            </w:pPr>
            <w:r>
              <w:rPr>
                <w:rFonts w:cs="Calibri" w:hAnsi="Calibri" w:eastAsia="Calibri" w:ascii="Calibri"/>
                <w:sz w:val="20"/>
              </w:rPr>
              <w:t xml:space="preserve">100%</w:t>
            </w:r>
          </w:p>
          <w:p>
            <w:pPr>
              <w:spacing w:before="0" w:after="0" w:line="259" w:lineRule="auto"/>
              <w:ind w:left="436" w:right="0" w:firstLine="0"/>
              <w:jc w:val="left"/>
            </w:pPr>
            <w:r>
              <w:rPr>
                <w:rFonts w:cs="Calibri" w:hAnsi="Calibri" w:eastAsia="Calibri" w:ascii="Calibri"/>
                <w:sz w:val="20"/>
              </w:rPr>
              <w:t xml:space="preserve">100%</w:t>
            </w:r>
          </w:p>
          <w:p>
            <w:pPr>
              <w:spacing w:before="0" w:after="0" w:line="259" w:lineRule="auto"/>
              <w:ind w:left="436" w:right="0" w:firstLine="0"/>
              <w:jc w:val="left"/>
            </w:pPr>
            <w:r>
              <w:rPr>
                <w:rFonts w:cs="Calibri" w:hAnsi="Calibri" w:eastAsia="Calibri" w:ascii="Calibri"/>
                <w:sz w:val="20"/>
              </w:rPr>
              <w:t xml:space="preserve">100%</w:t>
            </w:r>
          </w:p>
        </w:tc>
        <w:tc>
          <w:tcPr>
            <w:tcW w:w="2777" w:type="dxa"/>
            <w:vMerge w:val="restart"/>
            <w:tcBorders>
              <w:top w:val="nil"/>
              <w:left w:val="nil"/>
              <w:bottom w:val="nil"/>
              <w:right w:val="nil"/>
            </w:tcBorders>
            <w:vAlign w:val="top"/>
          </w:tcPr>
          <w:p>
            <w:pPr>
              <w:spacing w:before="0" w:after="0" w:line="259" w:lineRule="auto"/>
              <w:ind w:left="60" w:right="0" w:firstLine="0"/>
              <w:jc w:val="left"/>
            </w:pPr>
            <w:r>
              <w:rPr>
                <w:rFonts w:cs="Calibri" w:hAnsi="Calibri" w:eastAsia="Calibri" w:ascii="Calibri"/>
                <w:sz w:val="20"/>
              </w:rPr>
              <w:t xml:space="preserve">Project*Manager**prorata</w:t>
            </w:r>
          </w:p>
          <w:p>
            <w:pPr>
              <w:spacing w:before="0" w:after="6" w:line="259" w:lineRule="auto"/>
              <w:ind w:left="60" w:right="0" w:firstLine="0"/>
              <w:jc w:val="left"/>
            </w:pPr>
            <w:r>
              <w:rPr>
                <w:rFonts w:cs="Calibri" w:hAnsi="Calibri" w:eastAsia="Calibri" w:ascii="Calibri"/>
                <w:sz w:val="20"/>
              </w:rPr>
              <w:t xml:space="preserve">Operations*Manager</w:t>
            </w:r>
          </w:p>
          <w:p>
            <w:pPr>
              <w:spacing w:before="0" w:after="0" w:line="259" w:lineRule="auto"/>
              <w:ind w:left="1" w:right="0" w:firstLine="0"/>
              <w:jc w:val="left"/>
            </w:pPr>
            <w:r>
              <w:rPr>
                <w:rFonts w:cs="Calibri" w:hAnsi="Calibri" w:eastAsia="Calibri" w:ascii="Calibri"/>
                <w:sz w:val="20"/>
              </w:rPr>
              <w:t xml:space="preserve">*Monitoring*&amp;*Evaluation*</w:t>
            </w:r>
          </w:p>
          <w:p>
            <w:pPr>
              <w:spacing w:before="0" w:after="2" w:line="259" w:lineRule="auto"/>
              <w:ind w:left="0" w:right="0" w:firstLine="0"/>
              <w:jc w:val="left"/>
            </w:pPr>
            <w:r>
              <w:rPr>
                <w:rFonts w:cs="Calibri" w:hAnsi="Calibri" w:eastAsia="Calibri" w:ascii="Calibri"/>
                <w:sz w:val="20"/>
              </w:rPr>
              <w:t xml:space="preserve">Specialist**prorata*</w:t>
            </w:r>
          </w:p>
          <w:p>
            <w:pPr>
              <w:spacing w:before="0" w:after="0" w:line="259" w:lineRule="auto"/>
              <w:ind w:left="60" w:right="0" w:firstLine="0"/>
              <w:jc w:val="left"/>
            </w:pPr>
            <w:r>
              <w:rPr>
                <w:rFonts w:cs="Calibri" w:hAnsi="Calibri" w:eastAsia="Calibri" w:ascii="Calibri"/>
                <w:sz w:val="20"/>
              </w:rPr>
              <w:t xml:space="preserve">Information*Associate</w:t>
            </w:r>
          </w:p>
          <w:p>
            <w:pPr>
              <w:spacing w:before="0" w:after="19" w:line="259" w:lineRule="auto"/>
              <w:ind w:left="60" w:right="0" w:firstLine="0"/>
              <w:jc w:val="left"/>
            </w:pPr>
            <w:r>
              <w:rPr>
                <w:rFonts w:cs="Calibri" w:hAnsi="Calibri" w:eastAsia="Calibri" w:ascii="Calibri"/>
                <w:sz w:val="20"/>
              </w:rPr>
              <w:t xml:space="preserve">Finance*Associate</w:t>
            </w:r>
          </w:p>
          <w:p>
            <w:pPr>
              <w:spacing w:before="0" w:after="0" w:line="259" w:lineRule="auto"/>
              <w:ind w:left="1" w:right="0" w:firstLine="0"/>
              <w:jc w:val="left"/>
            </w:pPr>
            <w:r>
              <w:rPr>
                <w:rFonts w:cs="Calibri" w:hAnsi="Calibri" w:eastAsia="Calibri" w:ascii="Calibri"/>
                <w:sz w:val="20"/>
              </w:rPr>
              <w:t xml:space="preserve">*Admin*&amp;*Logistics*Associates*</w:t>
            </w:r>
          </w:p>
          <w:p>
            <w:pPr>
              <w:spacing w:before="0" w:after="0" w:line="259" w:lineRule="auto"/>
              <w:ind w:left="1" w:right="0" w:firstLine="0"/>
              <w:jc w:val="left"/>
            </w:pPr>
            <w:r>
              <w:rPr>
                <w:rFonts w:cs="Calibri" w:hAnsi="Calibri" w:eastAsia="Calibri" w:ascii="Calibri"/>
                <w:sz w:val="20"/>
              </w:rPr>
              <w:t xml:space="preserve">(1*DSM,*1*ZNZ)*</w:t>
            </w:r>
          </w:p>
          <w:p>
            <w:pPr>
              <w:spacing w:before="0" w:after="266" w:line="259" w:lineRule="auto"/>
              <w:ind w:left="1" w:right="0" w:firstLine="0"/>
              <w:jc w:val="left"/>
            </w:pPr>
            <w:r>
              <w:rPr>
                <w:rFonts w:cs="Calibri" w:hAnsi="Calibri" w:eastAsia="Calibri" w:ascii="Calibri"/>
                <w:sz w:val="20"/>
              </w:rPr>
              <w:t xml:space="preserve">*Travel*&amp;*Logistics*Associate*</w:t>
            </w:r>
          </w:p>
          <w:p>
            <w:pPr>
              <w:spacing w:before="0" w:after="0" w:line="259" w:lineRule="auto"/>
              <w:ind w:left="60" w:right="0" w:firstLine="0"/>
              <w:jc w:val="left"/>
            </w:pPr>
            <w:r>
              <w:rPr>
                <w:rFonts w:cs="Calibri" w:hAnsi="Calibri" w:eastAsia="Calibri" w:ascii="Calibri"/>
                <w:sz w:val="20"/>
              </w:rPr>
              <w:t xml:space="preserve">Procurement*Associate</w:t>
            </w:r>
          </w:p>
          <w:p>
            <w:pPr>
              <w:spacing w:before="0" w:after="0" w:line="259" w:lineRule="auto"/>
              <w:ind w:left="60" w:right="0" w:firstLine="0"/>
              <w:jc w:val="left"/>
            </w:pPr>
            <w:r>
              <w:rPr>
                <w:rFonts w:cs="Calibri" w:hAnsi="Calibri" w:eastAsia="Calibri" w:ascii="Calibri"/>
                <w:sz w:val="20"/>
              </w:rPr>
              <w:t xml:space="preserve">HR*Associate</w:t>
            </w:r>
          </w:p>
          <w:p>
            <w:pPr>
              <w:spacing w:before="0" w:after="0" w:line="259" w:lineRule="auto"/>
              <w:ind w:left="60" w:right="0" w:firstLine="0"/>
              <w:jc w:val="left"/>
            </w:pPr>
            <w:r>
              <w:rPr>
                <w:rFonts w:cs="Calibri" w:hAnsi="Calibri" w:eastAsia="Calibri" w:ascii="Calibri"/>
                <w:sz w:val="20"/>
              </w:rPr>
              <w:t xml:space="preserve">Receptionist</w:t>
            </w:r>
          </w:p>
          <w:p>
            <w:pPr>
              <w:spacing w:before="0" w:after="0" w:line="259" w:lineRule="auto"/>
              <w:ind w:left="60" w:right="0" w:firstLine="0"/>
              <w:jc w:val="left"/>
            </w:pPr>
            <w:r>
              <w:rPr>
                <w:rFonts w:cs="Calibri" w:hAnsi="Calibri" w:eastAsia="Calibri" w:ascii="Calibri"/>
                <w:sz w:val="20"/>
              </w:rPr>
              <w:t xml:space="preserve">Drivers*(2*DSM,*1*ZNZ)</w:t>
            </w:r>
          </w:p>
        </w:tc>
        <w:tc>
          <w:tcPr>
            <w:tcW w:w="1198" w:type="dxa"/>
            <w:vMerge w:val="restart"/>
            <w:tcBorders>
              <w:top w:val="nil"/>
              <w:left w:val="nil"/>
              <w:bottom w:val="nil"/>
              <w:right w:val="nil"/>
            </w:tcBorders>
            <w:vAlign w:val="top"/>
          </w:tcPr>
          <w:p>
            <w:pPr>
              <w:spacing w:before="0" w:after="0"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262"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6" w:line="259" w:lineRule="auto"/>
              <w:ind w:left="0" w:right="0" w:firstLine="0"/>
              <w:jc w:val="left"/>
            </w:pPr>
            <w:r>
              <w:rPr>
                <w:rFonts w:cs="Calibri" w:hAnsi="Calibri" w:eastAsia="Calibri" w:ascii="Calibri"/>
                <w:sz w:val="20"/>
              </w:rPr>
              <w:t xml:space="preserve">Mos.</w:t>
            </w:r>
          </w:p>
          <w:p>
            <w:pPr>
              <w:spacing w:before="0" w:after="271" w:line="259" w:lineRule="auto"/>
              <w:ind w:left="0" w:right="0" w:firstLine="0"/>
              <w:jc w:val="left"/>
            </w:pPr>
            <w:r>
              <w:rPr>
                <w:rFonts w:cs="Calibri" w:hAnsi="Calibri" w:eastAsia="Calibri" w:ascii="Calibri"/>
                <w:sz w:val="20"/>
              </w:rPr>
              <w:t xml:space="preserve">Mos.</w:t>
            </w:r>
          </w:p>
          <w:p>
            <w:pPr>
              <w:spacing w:before="0" w:after="254"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p>
            <w:pPr>
              <w:spacing w:before="0" w:after="0" w:line="259" w:lineRule="auto"/>
              <w:ind w:left="0" w:right="0" w:firstLine="0"/>
              <w:jc w:val="left"/>
            </w:pPr>
            <w:r>
              <w:rPr>
                <w:rFonts w:cs="Calibri" w:hAnsi="Calibri" w:eastAsia="Calibri" w:ascii="Calibri"/>
                <w:sz w:val="20"/>
              </w:rPr>
              <w:t xml:space="preserve">Mos.</w:t>
            </w:r>
          </w:p>
        </w:tc>
        <w:tc>
          <w:tcPr>
            <w:tcW w:w="575" w:type="dxa"/>
            <w:tcBorders>
              <w:top w:val="nil"/>
              <w:left w:val="nil"/>
              <w:bottom w:val="double" w:sz="7" w:color="000000"/>
              <w:right w:val="nil"/>
            </w:tcBorders>
            <w:vAlign w:val="top"/>
          </w:tcPr>
          <w:p>
            <w:pPr>
              <w:bidi w:val="0"/>
              <w:spacing w:before="0" w:after="160" w:line="259" w:lineRule="auto"/>
              <w:ind w:left="0" w:right="0" w:firstLine="0"/>
              <w:jc w:val="left"/>
            </w:pPr>
          </w:p>
        </w:tc>
        <w:tc>
          <w:tcPr>
            <w:tcW w:w="1392" w:type="dxa"/>
            <w:tcBorders>
              <w:top w:val="nil"/>
              <w:left w:val="nil"/>
              <w:bottom w:val="double" w:sz="7" w:color="000000"/>
              <w:right w:val="nil"/>
            </w:tcBorders>
            <w:vAlign w:val="top"/>
          </w:tcPr>
          <w:p>
            <w:pPr>
              <w:spacing w:before="0" w:after="0" w:line="259" w:lineRule="auto"/>
              <w:ind w:left="51" w:right="0" w:firstLine="0"/>
              <w:jc w:val="left"/>
            </w:pPr>
            <w:r>
              <w:rPr>
                <w:rFonts w:cs="Calibri" w:hAnsi="Calibri" w:eastAsia="Calibri" w:ascii="Calibri"/>
                <w:sz w:val="20"/>
              </w:rPr>
              <w:t xml:space="preserve">6</w:t>
            </w:r>
          </w:p>
          <w:p>
            <w:pPr>
              <w:spacing w:before="0" w:after="0" w:line="259" w:lineRule="auto"/>
              <w:ind w:left="0" w:right="0" w:firstLine="0"/>
              <w:jc w:val="left"/>
            </w:pPr>
            <w:r>
              <w:rPr>
                <w:rFonts w:cs="Calibri" w:hAnsi="Calibri" w:eastAsia="Calibri" w:ascii="Calibri"/>
                <w:sz w:val="20"/>
              </w:rPr>
              <w:t xml:space="preserve">10</w:t>
            </w:r>
          </w:p>
          <w:p>
            <w:pPr>
              <w:spacing w:before="0" w:after="262" w:line="259" w:lineRule="auto"/>
              <w:ind w:left="51" w:right="0" w:firstLine="0"/>
              <w:jc w:val="left"/>
            </w:pPr>
            <w:r>
              <w:rPr>
                <w:rFonts w:cs="Calibri" w:hAnsi="Calibri" w:eastAsia="Calibri" w:ascii="Calibri"/>
                <w:sz w:val="20"/>
              </w:rPr>
              <w:t xml:space="preserve">6</w:t>
            </w:r>
          </w:p>
          <w:p>
            <w:pPr>
              <w:spacing w:before="0" w:after="0" w:line="259" w:lineRule="auto"/>
              <w:ind w:left="51" w:right="0" w:firstLine="0"/>
              <w:jc w:val="left"/>
            </w:pPr>
            <w:r>
              <w:rPr>
                <w:rFonts w:cs="Calibri" w:hAnsi="Calibri" w:eastAsia="Calibri" w:ascii="Calibri"/>
                <w:sz w:val="20"/>
              </w:rPr>
              <w:t xml:space="preserve">8</w:t>
            </w:r>
          </w:p>
          <w:p>
            <w:pPr>
              <w:spacing w:before="0" w:after="6" w:line="259" w:lineRule="auto"/>
              <w:ind w:left="51" w:right="0" w:firstLine="0"/>
              <w:jc w:val="left"/>
            </w:pPr>
            <w:r>
              <w:rPr>
                <w:rFonts w:cs="Calibri" w:hAnsi="Calibri" w:eastAsia="Calibri" w:ascii="Calibri"/>
                <w:sz w:val="20"/>
              </w:rPr>
              <w:t xml:space="preserve">9</w:t>
            </w:r>
          </w:p>
          <w:p>
            <w:pPr>
              <w:spacing w:before="0" w:after="271" w:line="259" w:lineRule="auto"/>
              <w:ind w:left="51" w:right="0" w:firstLine="0"/>
              <w:jc w:val="left"/>
            </w:pPr>
            <w:r>
              <w:rPr>
                <w:rFonts w:cs="Calibri" w:hAnsi="Calibri" w:eastAsia="Calibri" w:ascii="Calibri"/>
                <w:sz w:val="20"/>
              </w:rPr>
              <w:t xml:space="preserve">9</w:t>
            </w:r>
          </w:p>
          <w:p>
            <w:pPr>
              <w:spacing w:before="0" w:after="254" w:line="259" w:lineRule="auto"/>
              <w:ind w:left="51" w:right="0" w:firstLine="0"/>
              <w:jc w:val="left"/>
            </w:pPr>
            <w:r>
              <w:rPr>
                <w:rFonts w:cs="Calibri" w:hAnsi="Calibri" w:eastAsia="Calibri" w:ascii="Calibri"/>
                <w:sz w:val="20"/>
              </w:rPr>
              <w:t xml:space="preserve">9</w:t>
            </w:r>
          </w:p>
          <w:p>
            <w:pPr>
              <w:spacing w:before="0" w:after="0" w:line="259" w:lineRule="auto"/>
              <w:ind w:left="51" w:right="0" w:firstLine="0"/>
              <w:jc w:val="left"/>
            </w:pPr>
            <w:r>
              <w:rPr>
                <w:rFonts w:cs="Calibri" w:hAnsi="Calibri" w:eastAsia="Calibri" w:ascii="Calibri"/>
                <w:sz w:val="20"/>
              </w:rPr>
              <w:t xml:space="preserve">9</w:t>
            </w:r>
          </w:p>
          <w:p>
            <w:pPr>
              <w:spacing w:before="0" w:after="0" w:line="259" w:lineRule="auto"/>
              <w:ind w:left="0" w:right="0" w:firstLine="0"/>
              <w:jc w:val="left"/>
            </w:pPr>
            <w:r>
              <w:rPr>
                <w:rFonts w:cs="Calibri" w:hAnsi="Calibri" w:eastAsia="Calibri" w:ascii="Calibri"/>
                <w:sz w:val="20"/>
              </w:rPr>
              <w:t xml:space="preserve">10</w:t>
            </w:r>
          </w:p>
          <w:p>
            <w:pPr>
              <w:spacing w:before="0" w:after="0" w:line="259" w:lineRule="auto"/>
              <w:ind w:left="51" w:right="0" w:firstLine="0"/>
              <w:jc w:val="left"/>
            </w:pPr>
            <w:r>
              <w:rPr>
                <w:rFonts w:cs="Calibri" w:hAnsi="Calibri" w:eastAsia="Calibri" w:ascii="Calibri"/>
                <w:sz w:val="20"/>
              </w:rPr>
              <w:t xml:space="preserve">9</w:t>
            </w:r>
          </w:p>
          <w:p>
            <w:pPr>
              <w:spacing w:before="0" w:after="0" w:line="259" w:lineRule="auto"/>
              <w:ind w:left="0" w:right="0" w:firstLine="0"/>
              <w:jc w:val="left"/>
            </w:pPr>
            <w:r>
              <w:rPr>
                <w:rFonts w:cs="Calibri" w:hAnsi="Calibri" w:eastAsia="Calibri" w:ascii="Calibri"/>
                <w:sz w:val="20"/>
              </w:rPr>
              <w:t xml:space="preserve">24</w:t>
            </w:r>
          </w:p>
        </w:tc>
        <w:tc>
          <w:tcPr>
            <w:tcW w:w="1201" w:type="dxa"/>
            <w:tcBorders>
              <w:top w:val="nil"/>
              <w:left w:val="nil"/>
              <w:bottom w:val="double" w:sz="7" w:color="000000"/>
              <w:right w:val="nil"/>
            </w:tcBorders>
            <w:vAlign w:val="top"/>
          </w:tcPr>
          <w:p>
            <w:pPr>
              <w:spacing w:before="0" w:after="0" w:line="259" w:lineRule="auto"/>
              <w:ind w:left="0" w:right="31" w:firstLine="0"/>
              <w:jc w:val="right"/>
            </w:pPr>
            <w:r>
              <w:rPr>
                <w:rFonts w:cs="Calibri" w:hAnsi="Calibri" w:eastAsia="Calibri" w:ascii="Calibri"/>
                <w:sz w:val="20"/>
              </w:rPr>
              <w:t xml:space="preserve">$18,666.47</w:t>
            </w:r>
          </w:p>
          <w:p>
            <w:pPr>
              <w:spacing w:before="0" w:after="0" w:line="259" w:lineRule="auto"/>
              <w:ind w:left="0" w:right="31" w:firstLine="0"/>
              <w:jc w:val="right"/>
            </w:pPr>
            <w:r>
              <w:rPr>
                <w:rFonts w:cs="Calibri" w:hAnsi="Calibri" w:eastAsia="Calibri" w:ascii="Calibri"/>
                <w:sz w:val="20"/>
              </w:rPr>
              <w:t xml:space="preserve">$18,666.47</w:t>
            </w:r>
          </w:p>
          <w:p>
            <w:pPr>
              <w:spacing w:before="0" w:after="262" w:line="259" w:lineRule="auto"/>
              <w:ind w:left="0" w:right="31" w:firstLine="0"/>
              <w:jc w:val="right"/>
            </w:pPr>
            <w:r>
              <w:rPr>
                <w:rFonts w:cs="Calibri" w:hAnsi="Calibri" w:eastAsia="Calibri" w:ascii="Calibri"/>
                <w:sz w:val="20"/>
              </w:rPr>
              <w:t xml:space="preserve">$18,666.47</w:t>
            </w:r>
          </w:p>
          <w:p>
            <w:pPr>
              <w:spacing w:before="0" w:after="0" w:line="259" w:lineRule="auto"/>
              <w:ind w:left="372" w:right="0" w:firstLine="0"/>
              <w:jc w:val="left"/>
            </w:pPr>
            <w:r>
              <w:rPr>
                <w:rFonts w:cs="Calibri" w:hAnsi="Calibri" w:eastAsia="Calibri" w:ascii="Calibri"/>
                <w:sz w:val="20"/>
              </w:rPr>
              <w:t xml:space="preserve">$5,563.52</w:t>
            </w:r>
          </w:p>
          <w:p>
            <w:pPr>
              <w:spacing w:before="0" w:after="6" w:line="259" w:lineRule="auto"/>
              <w:ind w:left="372" w:right="0" w:firstLine="0"/>
              <w:jc w:val="left"/>
            </w:pPr>
            <w:r>
              <w:rPr>
                <w:rFonts w:cs="Calibri" w:hAnsi="Calibri" w:eastAsia="Calibri" w:ascii="Calibri"/>
                <w:sz w:val="20"/>
              </w:rPr>
              <w:t xml:space="preserve">$4,695.55</w:t>
            </w:r>
          </w:p>
          <w:p>
            <w:pPr>
              <w:spacing w:before="0" w:after="271" w:line="259" w:lineRule="auto"/>
              <w:ind w:left="372" w:right="0" w:firstLine="0"/>
              <w:jc w:val="left"/>
            </w:pPr>
            <w:r>
              <w:rPr>
                <w:rFonts w:cs="Calibri" w:hAnsi="Calibri" w:eastAsia="Calibri" w:ascii="Calibri"/>
                <w:sz w:val="20"/>
              </w:rPr>
              <w:t xml:space="preserve">$4,695.55</w:t>
            </w:r>
          </w:p>
          <w:p>
            <w:pPr>
              <w:spacing w:before="0" w:after="254" w:line="259" w:lineRule="auto"/>
              <w:ind w:left="372" w:right="0" w:firstLine="0"/>
              <w:jc w:val="left"/>
            </w:pPr>
            <w:r>
              <w:rPr>
                <w:rFonts w:cs="Calibri" w:hAnsi="Calibri" w:eastAsia="Calibri" w:ascii="Calibri"/>
                <w:sz w:val="20"/>
              </w:rPr>
              <w:t xml:space="preserve">$4,695.55</w:t>
            </w:r>
          </w:p>
          <w:p>
            <w:pPr>
              <w:spacing w:before="0" w:after="0" w:line="259" w:lineRule="auto"/>
              <w:ind w:left="372" w:right="0" w:firstLine="0"/>
              <w:jc w:val="left"/>
            </w:pPr>
            <w:r>
              <w:rPr>
                <w:rFonts w:cs="Calibri" w:hAnsi="Calibri" w:eastAsia="Calibri" w:ascii="Calibri"/>
                <w:sz w:val="20"/>
              </w:rPr>
              <w:t xml:space="preserve">$4,695.55</w:t>
            </w:r>
          </w:p>
          <w:p>
            <w:pPr>
              <w:spacing w:before="0" w:after="0" w:line="259" w:lineRule="auto"/>
              <w:ind w:left="372" w:right="0" w:firstLine="0"/>
              <w:jc w:val="left"/>
            </w:pPr>
            <w:r>
              <w:rPr>
                <w:rFonts w:cs="Calibri" w:hAnsi="Calibri" w:eastAsia="Calibri" w:ascii="Calibri"/>
                <w:sz w:val="20"/>
              </w:rPr>
              <w:t xml:space="preserve">$3,976.32</w:t>
            </w:r>
          </w:p>
          <w:p>
            <w:pPr>
              <w:spacing w:before="0" w:after="0" w:line="259" w:lineRule="auto"/>
              <w:ind w:left="372" w:right="0" w:firstLine="0"/>
              <w:jc w:val="left"/>
            </w:pPr>
            <w:r>
              <w:rPr>
                <w:rFonts w:cs="Calibri" w:hAnsi="Calibri" w:eastAsia="Calibri" w:ascii="Calibri"/>
                <w:sz w:val="20"/>
              </w:rPr>
              <w:t xml:space="preserve">$3,976.32</w:t>
            </w:r>
          </w:p>
          <w:p>
            <w:pPr>
              <w:spacing w:before="0" w:after="0" w:line="259" w:lineRule="auto"/>
              <w:ind w:left="372" w:right="0" w:firstLine="0"/>
              <w:jc w:val="left"/>
            </w:pPr>
            <w:r>
              <w:rPr>
                <w:rFonts w:cs="Calibri" w:hAnsi="Calibri" w:eastAsia="Calibri" w:ascii="Calibri"/>
                <w:sz w:val="20"/>
              </w:rPr>
              <w:t xml:space="preserve">$2,596.07</w:t>
            </w:r>
          </w:p>
        </w:tc>
        <w:tc>
          <w:tcPr>
            <w:tcW w:w="1354" w:type="dxa"/>
            <w:tcBorders>
              <w:top w:val="nil"/>
              <w:left w:val="nil"/>
              <w:bottom w:val="double" w:sz="7" w:color="000000"/>
              <w:right w:val="nil"/>
            </w:tcBorders>
            <w:vAlign w:val="top"/>
          </w:tcPr>
          <w:p>
            <w:pPr>
              <w:spacing w:before="0" w:after="0" w:line="259" w:lineRule="auto"/>
              <w:ind w:left="0" w:right="34" w:firstLine="0"/>
              <w:jc w:val="right"/>
            </w:pPr>
            <w:r>
              <w:rPr>
                <w:rFonts w:cs="Calibri" w:hAnsi="Calibri" w:eastAsia="Calibri" w:ascii="Calibri"/>
                <w:sz w:val="20"/>
              </w:rPr>
              <w:t xml:space="preserve">$111,998.82</w:t>
            </w:r>
          </w:p>
          <w:p>
            <w:pPr>
              <w:spacing w:before="0" w:after="0" w:line="259" w:lineRule="auto"/>
              <w:ind w:left="0" w:right="34" w:firstLine="0"/>
              <w:jc w:val="right"/>
            </w:pPr>
            <w:r>
              <w:rPr>
                <w:rFonts w:cs="Calibri" w:hAnsi="Calibri" w:eastAsia="Calibri" w:ascii="Calibri"/>
                <w:sz w:val="20"/>
              </w:rPr>
              <w:t xml:space="preserve">$186,664.70</w:t>
            </w:r>
          </w:p>
          <w:p>
            <w:pPr>
              <w:spacing w:before="0" w:after="262" w:line="259" w:lineRule="auto"/>
              <w:ind w:left="0" w:right="34" w:firstLine="0"/>
              <w:jc w:val="right"/>
            </w:pPr>
            <w:r>
              <w:rPr>
                <w:rFonts w:cs="Calibri" w:hAnsi="Calibri" w:eastAsia="Calibri" w:ascii="Calibri"/>
                <w:sz w:val="20"/>
              </w:rPr>
              <w:t xml:space="preserve">$111,998.82</w:t>
            </w:r>
          </w:p>
          <w:p>
            <w:pPr>
              <w:spacing w:before="0" w:after="0" w:line="259" w:lineRule="auto"/>
              <w:ind w:left="427" w:right="0" w:firstLine="0"/>
              <w:jc w:val="left"/>
            </w:pPr>
            <w:r>
              <w:rPr>
                <w:rFonts w:cs="Calibri" w:hAnsi="Calibri" w:eastAsia="Calibri" w:ascii="Calibri"/>
                <w:sz w:val="20"/>
              </w:rPr>
              <w:t xml:space="preserve">$44,508.16</w:t>
            </w:r>
          </w:p>
          <w:p>
            <w:pPr>
              <w:spacing w:before="0" w:after="6" w:line="259" w:lineRule="auto"/>
              <w:ind w:left="427" w:right="0" w:firstLine="0"/>
              <w:jc w:val="left"/>
            </w:pPr>
            <w:r>
              <w:rPr>
                <w:rFonts w:cs="Calibri" w:hAnsi="Calibri" w:eastAsia="Calibri" w:ascii="Calibri"/>
                <w:sz w:val="20"/>
              </w:rPr>
              <w:t xml:space="preserve">$42,259.95</w:t>
            </w:r>
          </w:p>
          <w:p>
            <w:pPr>
              <w:spacing w:before="0" w:after="271" w:line="259" w:lineRule="auto"/>
              <w:ind w:left="427" w:right="0" w:firstLine="0"/>
              <w:jc w:val="left"/>
            </w:pPr>
            <w:r>
              <w:rPr>
                <w:rFonts w:cs="Calibri" w:hAnsi="Calibri" w:eastAsia="Calibri" w:ascii="Calibri"/>
                <w:sz w:val="20"/>
              </w:rPr>
              <w:t xml:space="preserve">$42,259.95</w:t>
            </w:r>
          </w:p>
          <w:p>
            <w:pPr>
              <w:spacing w:before="0" w:after="254" w:line="259" w:lineRule="auto"/>
              <w:ind w:left="427" w:right="0" w:firstLine="0"/>
              <w:jc w:val="left"/>
            </w:pPr>
            <w:r>
              <w:rPr>
                <w:rFonts w:cs="Calibri" w:hAnsi="Calibri" w:eastAsia="Calibri" w:ascii="Calibri"/>
                <w:sz w:val="20"/>
              </w:rPr>
              <w:t xml:space="preserve">$42,259.95</w:t>
            </w:r>
          </w:p>
          <w:p>
            <w:pPr>
              <w:spacing w:before="0" w:after="0" w:line="259" w:lineRule="auto"/>
              <w:ind w:left="427" w:right="0" w:firstLine="0"/>
              <w:jc w:val="left"/>
            </w:pPr>
            <w:r>
              <w:rPr>
                <w:rFonts w:cs="Calibri" w:hAnsi="Calibri" w:eastAsia="Calibri" w:ascii="Calibri"/>
                <w:sz w:val="20"/>
              </w:rPr>
              <w:t xml:space="preserve">$42,259.95</w:t>
            </w:r>
          </w:p>
          <w:p>
            <w:pPr>
              <w:spacing w:before="0" w:after="0" w:line="259" w:lineRule="auto"/>
              <w:ind w:left="427" w:right="0" w:firstLine="0"/>
              <w:jc w:val="left"/>
            </w:pPr>
            <w:r>
              <w:rPr>
                <w:rFonts w:cs="Calibri" w:hAnsi="Calibri" w:eastAsia="Calibri" w:ascii="Calibri"/>
                <w:sz w:val="20"/>
              </w:rPr>
              <w:t xml:space="preserve">$39,763.20</w:t>
            </w:r>
          </w:p>
          <w:p>
            <w:pPr>
              <w:spacing w:before="0" w:after="0" w:line="259" w:lineRule="auto"/>
              <w:ind w:left="427" w:right="0" w:firstLine="0"/>
              <w:jc w:val="left"/>
            </w:pPr>
            <w:r>
              <w:rPr>
                <w:rFonts w:cs="Calibri" w:hAnsi="Calibri" w:eastAsia="Calibri" w:ascii="Calibri"/>
                <w:sz w:val="20"/>
              </w:rPr>
              <w:t xml:space="preserve">$35,786.88</w:t>
            </w:r>
          </w:p>
          <w:p>
            <w:pPr>
              <w:spacing w:before="0" w:after="0" w:line="259" w:lineRule="auto"/>
              <w:ind w:left="427" w:right="0" w:firstLine="0"/>
              <w:jc w:val="left"/>
            </w:pPr>
            <w:r>
              <w:rPr>
                <w:rFonts w:cs="Calibri" w:hAnsi="Calibri" w:eastAsia="Calibri" w:ascii="Calibri"/>
                <w:sz w:val="20"/>
              </w:rPr>
              <w:t xml:space="preserve">$62,305.68</w:t>
            </w:r>
          </w:p>
        </w:tc>
      </w:tr>
      <w:tr>
        <w:trPr>
          <w:trHeight w:val="265" w:hRule="atLeast"/>
        </w:trPr>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nil"/>
            </w:tcBorders>
            <w:vAlign w:val="top"/>
          </w:tcPr>
          <w:p>
            <w:pPr>
              <w:bidi w:val="0"/>
              <w:spacing w:before="0" w:after="160" w:line="259" w:lineRule="auto"/>
              <w:ind w:left="0" w:right="0" w:firstLine="0"/>
              <w:jc w:val="left"/>
            </w:pPr>
          </w:p>
        </w:tc>
        <w:tc>
          <w:tcPr>
            <w:tcW w:w="575" w:type="dxa"/>
            <w:tcBorders>
              <w:top w:val="double" w:sz="7" w:color="000000"/>
              <w:left w:val="nil"/>
              <w:bottom w:val="nil"/>
              <w:right w:val="nil"/>
            </w:tcBorders>
            <w:vAlign w:val="top"/>
          </w:tcPr>
          <w:p>
            <w:pPr>
              <w:bidi w:val="0"/>
              <w:spacing w:before="0" w:after="160" w:line="259" w:lineRule="auto"/>
              <w:ind w:left="0" w:right="0" w:firstLine="0"/>
              <w:jc w:val="left"/>
            </w:pPr>
          </w:p>
        </w:tc>
        <w:tc>
          <w:tcPr>
            <w:tcW w:w="1392" w:type="dxa"/>
            <w:tcBorders>
              <w:top w:val="double" w:sz="7" w:color="000000"/>
              <w:left w:val="nil"/>
              <w:bottom w:val="nil"/>
              <w:right w:val="nil"/>
            </w:tcBorders>
            <w:vAlign w:val="top"/>
          </w:tcPr>
          <w:p>
            <w:pPr>
              <w:bidi w:val="0"/>
              <w:spacing w:before="0" w:after="160" w:line="259" w:lineRule="auto"/>
              <w:ind w:left="0" w:right="0" w:firstLine="0"/>
              <w:jc w:val="left"/>
            </w:pPr>
          </w:p>
        </w:tc>
        <w:tc>
          <w:tcPr>
            <w:tcW w:w="1201" w:type="dxa"/>
            <w:tcBorders>
              <w:top w:val="double" w:sz="7" w:color="000000"/>
              <w:left w:val="nil"/>
              <w:bottom w:val="nil"/>
              <w:right w:val="nil"/>
            </w:tcBorders>
            <w:vAlign w:val="top"/>
          </w:tcPr>
          <w:p>
            <w:pPr>
              <w:spacing w:before="0" w:after="0" w:line="259" w:lineRule="auto"/>
              <w:ind w:left="360" w:right="0" w:firstLine="0"/>
              <w:jc w:val="left"/>
            </w:pPr>
            <w:r>
              <w:rPr>
                <w:rFonts w:cs="Calibri" w:hAnsi="Calibri" w:eastAsia="Calibri" w:ascii="Calibri"/>
                <w:b w:val="1"/>
                <w:sz w:val="20"/>
              </w:rPr>
              <w:t xml:space="preserve">Subtotal:</w:t>
            </w:r>
          </w:p>
        </w:tc>
        <w:tc>
          <w:tcPr>
            <w:tcW w:w="1354" w:type="dxa"/>
            <w:tcBorders>
              <w:top w:val="double" w:sz="7" w:color="000000"/>
              <w:left w:val="nil"/>
              <w:bottom w:val="nil"/>
              <w:right w:val="nil"/>
            </w:tcBorders>
            <w:vAlign w:val="top"/>
          </w:tcPr>
          <w:p>
            <w:pPr>
              <w:spacing w:before="0" w:after="0" w:line="259" w:lineRule="auto"/>
              <w:ind w:left="0" w:right="34" w:firstLine="0"/>
              <w:jc w:val="right"/>
            </w:pPr>
            <w:r>
              <w:rPr>
                <w:rFonts w:cs="Calibri" w:hAnsi="Calibri" w:eastAsia="Calibri" w:ascii="Calibri"/>
                <w:b w:val="1"/>
                <w:sz w:val="20"/>
              </w:rPr>
              <w:t xml:space="preserve">$762,066.06</w:t>
            </w:r>
          </w:p>
        </w:tc>
      </w:tr>
      <w:tr>
        <w:trPr>
          <w:trHeight w:val="269" w:hRule="atLeast"/>
        </w:trPr>
        <w:tc>
          <w:tcPr>
            <w:tcW w:w="8360" w:type="dxa"/>
            <w:gridSpan w:val="5"/>
            <w:tcBorders>
              <w:top w:val="nil"/>
              <w:left w:val="nil"/>
              <w:bottom w:val="nil"/>
              <w:right w:val="nil"/>
            </w:tcBorders>
            <w:shd w:val="clear" w:fill="dce6f1"/>
            <w:vAlign w:val="top"/>
          </w:tcPr>
          <w:p>
            <w:pPr>
              <w:spacing w:before="0" w:after="0" w:line="259" w:lineRule="auto"/>
              <w:ind w:left="34" w:right="0" w:firstLine="0"/>
              <w:jc w:val="left"/>
            </w:pPr>
            <w:r>
              <w:rPr>
                <w:rFonts w:cs="Calibri" w:hAnsi="Calibri" w:eastAsia="Calibri" w:ascii="Calibri"/>
                <w:b w:val="1"/>
                <w:sz w:val="20"/>
              </w:rPr>
              <w:t xml:space="preserve">(Monitoring(reporting(and(evaluation(costs(including(EAD(and(other(relevant(missions((</w:t>
            </w:r>
          </w:p>
        </w:tc>
        <w:tc>
          <w:tcPr>
            <w:tcW w:w="139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20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54"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491" w:hRule="atLeast"/>
        </w:trPr>
        <w:tc>
          <w:tcPr>
            <w:tcW w:w="8360" w:type="dxa"/>
            <w:gridSpan w:val="5"/>
            <w:tcBorders>
              <w:top w:val="nil"/>
              <w:left w:val="nil"/>
              <w:bottom w:val="nil"/>
              <w:right w:val="nil"/>
            </w:tcBorders>
            <w:vAlign w:val="top"/>
          </w:tcPr>
          <w:p>
            <w:pPr>
              <w:tabs>
                <w:tab w:val="center" w:pos="4069"/>
                <w:tab w:val="center" w:pos="6784"/>
              </w:tabs>
              <w:spacing w:before="0" w:after="0" w:line="259" w:lineRule="auto"/>
              <w:ind w:left="0" w:right="0" w:firstLine="0"/>
              <w:jc w:val="left"/>
            </w:pPr>
            <w:r>
              <w:rPr>
                <w:rFonts w:cs="Calibri" w:hAnsi="Calibri" w:eastAsia="Calibri" w:ascii="Calibri"/>
                <w:sz w:val="20"/>
              </w:rPr>
              <w:t xml:space="preserve">A.	M&amp;E	Ea.</w:t>
            </w:r>
          </w:p>
        </w:tc>
        <w:tc>
          <w:tcPr>
            <w:tcW w:w="1392" w:type="dxa"/>
            <w:tcBorders>
              <w:top w:val="nil"/>
              <w:left w:val="nil"/>
              <w:bottom w:val="nil"/>
              <w:right w:val="nil"/>
            </w:tcBorders>
            <w:vAlign w:val="top"/>
          </w:tcPr>
          <w:p>
            <w:pPr>
              <w:spacing w:before="0" w:after="0" w:line="259" w:lineRule="auto"/>
              <w:ind w:left="51" w:right="0" w:firstLine="0"/>
              <w:jc w:val="left"/>
            </w:pPr>
            <w:r>
              <w:rPr>
                <w:rFonts w:cs="Calibri" w:hAnsi="Calibri" w:eastAsia="Calibri" w:ascii="Calibri"/>
                <w:sz w:val="20"/>
              </w:rPr>
              <w:t xml:space="preserve">1</w:t>
            </w:r>
          </w:p>
        </w:tc>
        <w:tc>
          <w:tcPr>
            <w:tcW w:w="1201" w:type="dxa"/>
            <w:tcBorders>
              <w:top w:val="nil"/>
              <w:left w:val="nil"/>
              <w:bottom w:val="nil"/>
              <w:right w:val="nil"/>
            </w:tcBorders>
            <w:vAlign w:val="top"/>
          </w:tcPr>
          <w:p>
            <w:pPr>
              <w:spacing w:before="0" w:after="0" w:line="259" w:lineRule="auto"/>
              <w:ind w:left="360" w:right="0" w:firstLine="357"/>
              <w:jc w:val="left"/>
            </w:pPr>
            <w:r>
              <w:rPr>
                <w:rFonts w:cs="Calibri" w:hAnsi="Calibri" w:eastAsia="Calibri" w:ascii="Calibri"/>
                <w:sz w:val="20"/>
              </w:rPr>
              <w:t xml:space="preserve">$0.00 </w:t>
            </w:r>
            <w:r>
              <w:rPr>
                <w:rFonts w:cs="Calibri" w:hAnsi="Calibri" w:eastAsia="Calibri" w:ascii="Calibri"/>
                <w:b w:val="1"/>
                <w:sz w:val="20"/>
              </w:rPr>
              <w:t xml:space="preserve">Subtotal:</w:t>
            </w:r>
          </w:p>
        </w:tc>
        <w:tc>
          <w:tcPr>
            <w:tcW w:w="1354" w:type="dxa"/>
            <w:tcBorders>
              <w:top w:val="nil"/>
              <w:left w:val="nil"/>
              <w:bottom w:val="nil"/>
              <w:right w:val="nil"/>
            </w:tcBorders>
            <w:vAlign w:val="top"/>
          </w:tcPr>
          <w:p>
            <w:pPr>
              <w:spacing w:before="0" w:after="0" w:line="259" w:lineRule="auto"/>
              <w:ind w:left="0" w:right="35" w:firstLine="0"/>
              <w:jc w:val="right"/>
            </w:pPr>
            <w:r>
              <w:rPr>
                <w:rFonts w:cs="Calibri" w:hAnsi="Calibri" w:eastAsia="Calibri" w:ascii="Calibri"/>
                <w:sz w:val="20"/>
              </w:rPr>
              <w:t xml:space="preserve">$0.00</w:t>
            </w:r>
          </w:p>
          <w:p>
            <w:pPr>
              <w:spacing w:before="0" w:after="0" w:line="259" w:lineRule="auto"/>
              <w:ind w:left="0" w:right="32" w:firstLine="0"/>
              <w:jc w:val="right"/>
            </w:pPr>
            <w:r>
              <w:rPr>
                <w:rFonts w:cs="Calibri" w:hAnsi="Calibri" w:eastAsia="Calibri" w:ascii="Calibri"/>
                <w:b w:val="1"/>
                <w:sz w:val="20"/>
              </w:rPr>
              <w:t xml:space="preserve">$0.00</w:t>
            </w:r>
          </w:p>
        </w:tc>
      </w:tr>
      <w:tr>
        <w:trPr>
          <w:trHeight w:val="252" w:hRule="atLeast"/>
        </w:trPr>
        <w:tc>
          <w:tcPr>
            <w:tcW w:w="8360" w:type="dxa"/>
            <w:gridSpan w:val="5"/>
            <w:tcBorders>
              <w:top w:val="nil"/>
              <w:left w:val="nil"/>
              <w:bottom w:val="nil"/>
              <w:right w:val="nil"/>
            </w:tcBorders>
            <w:shd w:val="clear" w:fill="dce6f1"/>
            <w:vAlign w:val="top"/>
          </w:tcPr>
          <w:p>
            <w:pPr>
              <w:spacing w:before="0" w:after="0" w:line="259" w:lineRule="auto"/>
              <w:ind w:left="95" w:right="0" w:firstLine="0"/>
              <w:jc w:val="left"/>
            </w:pPr>
            <w:r>
              <w:rPr>
                <w:rFonts w:cs="Calibri" w:hAnsi="Calibri" w:eastAsia="Calibri" w:ascii="Calibri"/>
                <w:b w:val="1"/>
                <w:sz w:val="20"/>
              </w:rPr>
              <w:t xml:space="preserve">Contingency(</w:t>
            </w:r>
          </w:p>
        </w:tc>
        <w:tc>
          <w:tcPr>
            <w:tcW w:w="1392"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201" w:type="dxa"/>
            <w:tcBorders>
              <w:top w:val="nil"/>
              <w:left w:val="nil"/>
              <w:bottom w:val="nil"/>
              <w:right w:val="nil"/>
            </w:tcBorders>
            <w:shd w:val="clear" w:fill="dce6f1"/>
            <w:vAlign w:val="top"/>
          </w:tcPr>
          <w:p>
            <w:pPr>
              <w:bidi w:val="0"/>
              <w:spacing w:before="0" w:after="160" w:line="259" w:lineRule="auto"/>
              <w:ind w:left="0" w:right="0" w:firstLine="0"/>
              <w:jc w:val="left"/>
            </w:pPr>
          </w:p>
        </w:tc>
        <w:tc>
          <w:tcPr>
            <w:tcW w:w="1354" w:type="dxa"/>
            <w:tcBorders>
              <w:top w:val="nil"/>
              <w:left w:val="nil"/>
              <w:bottom w:val="nil"/>
              <w:right w:val="nil"/>
            </w:tcBorders>
            <w:shd w:val="clear" w:fill="dce6f1"/>
            <w:vAlign w:val="top"/>
          </w:tcPr>
          <w:p>
            <w:pPr>
              <w:bidi w:val="0"/>
              <w:spacing w:before="0" w:after="160" w:line="259" w:lineRule="auto"/>
              <w:ind w:left="0" w:right="0" w:firstLine="0"/>
              <w:jc w:val="left"/>
            </w:pPr>
          </w:p>
        </w:tc>
      </w:tr>
      <w:tr>
        <w:trPr>
          <w:trHeight w:val="261" w:hRule="atLeast"/>
        </w:trPr>
        <w:tc>
          <w:tcPr>
            <w:tcW w:w="8360" w:type="dxa"/>
            <w:gridSpan w:val="5"/>
            <w:tcBorders>
              <w:top w:val="nil"/>
              <w:left w:val="nil"/>
              <w:bottom w:val="nil"/>
              <w:right w:val="nil"/>
            </w:tcBorders>
            <w:vAlign w:val="top"/>
          </w:tcPr>
          <w:p>
            <w:pPr>
              <w:tabs>
                <w:tab w:val="center" w:pos="6784"/>
              </w:tabs>
              <w:spacing w:before="0" w:after="0" w:line="259" w:lineRule="auto"/>
              <w:ind w:left="0" w:right="0" w:firstLine="0"/>
              <w:jc w:val="left"/>
            </w:pPr>
            <w:r>
              <w:rPr>
                <w:rFonts w:cs="Calibri" w:hAnsi="Calibri" w:eastAsia="Calibri" w:ascii="Calibri"/>
                <w:sz w:val="20"/>
              </w:rPr>
              <w:t xml:space="preserve">A.	Ea.</w:t>
            </w:r>
          </w:p>
        </w:tc>
        <w:tc>
          <w:tcPr>
            <w:tcW w:w="1392" w:type="dxa"/>
            <w:tcBorders>
              <w:top w:val="nil"/>
              <w:left w:val="nil"/>
              <w:bottom w:val="double" w:sz="7" w:color="000000"/>
              <w:right w:val="nil"/>
            </w:tcBorders>
            <w:vAlign w:val="top"/>
          </w:tcPr>
          <w:p>
            <w:pPr>
              <w:spacing w:before="0" w:after="0" w:line="259" w:lineRule="auto"/>
              <w:ind w:left="51" w:right="0" w:firstLine="0"/>
              <w:jc w:val="left"/>
            </w:pPr>
            <w:r>
              <w:rPr>
                <w:rFonts w:cs="Calibri" w:hAnsi="Calibri" w:eastAsia="Calibri" w:ascii="Calibri"/>
                <w:sz w:val="20"/>
              </w:rPr>
              <w:t xml:space="preserve">1</w:t>
            </w:r>
          </w:p>
        </w:tc>
        <w:tc>
          <w:tcPr>
            <w:tcW w:w="1201" w:type="dxa"/>
            <w:tcBorders>
              <w:top w:val="nil"/>
              <w:left w:val="nil"/>
              <w:bottom w:val="double" w:sz="7" w:color="000000"/>
              <w:right w:val="nil"/>
            </w:tcBorders>
            <w:vAlign w:val="top"/>
          </w:tcPr>
          <w:p>
            <w:pPr>
              <w:bidi w:val="0"/>
              <w:spacing w:before="0" w:after="160" w:line="259" w:lineRule="auto"/>
              <w:ind w:left="0" w:right="0" w:firstLine="0"/>
              <w:jc w:val="left"/>
            </w:pPr>
          </w:p>
        </w:tc>
        <w:tc>
          <w:tcPr>
            <w:tcW w:w="1354" w:type="dxa"/>
            <w:tcBorders>
              <w:top w:val="nil"/>
              <w:left w:val="nil"/>
              <w:bottom w:val="double" w:sz="7" w:color="000000"/>
              <w:right w:val="nil"/>
            </w:tcBorders>
            <w:vAlign w:val="top"/>
          </w:tcPr>
          <w:p>
            <w:pPr>
              <w:spacing w:before="0" w:after="0" w:line="259" w:lineRule="auto"/>
              <w:ind w:left="94" w:right="0" w:firstLine="0"/>
              <w:jc w:val="left"/>
            </w:pPr>
            <w:r>
              <w:rPr>
                <w:rFonts w:cs="Calibri" w:hAnsi="Calibri" w:eastAsia="Calibri" w:ascii="Calibri"/>
                <w:sz w:val="20"/>
              </w:rPr>
              <w:t xml:space="preserve">$****300,000.00</w:t>
            </w:r>
            <w:r>
              <w:rPr>
                <w:rFonts w:cs="Calibri" w:hAnsi="Calibri" w:eastAsia="Calibri" w:ascii="Calibri"/>
                <w:sz w:val="20"/>
              </w:rPr>
              <w:t xml:space="preserve">*</w:t>
            </w:r>
          </w:p>
        </w:tc>
      </w:tr>
      <w:tr>
        <w:trPr>
          <w:trHeight w:val="530" w:hRule="atLeast"/>
        </w:trPr>
        <w:tc>
          <w:tcPr>
            <w:tcW w:w="8360" w:type="dxa"/>
            <w:gridSpan w:val="5"/>
            <w:tcBorders>
              <w:top w:val="nil"/>
              <w:left w:val="nil"/>
              <w:bottom w:val="single" w:sz="14" w:color="000000"/>
              <w:right w:val="nil"/>
            </w:tcBorders>
            <w:vAlign w:val="top"/>
          </w:tcPr>
          <w:p>
            <w:pPr>
              <w:bidi w:val="0"/>
              <w:spacing w:before="0" w:after="160" w:line="259" w:lineRule="auto"/>
              <w:ind w:left="0" w:right="0" w:firstLine="0"/>
              <w:jc w:val="left"/>
            </w:pPr>
          </w:p>
        </w:tc>
        <w:tc>
          <w:tcPr>
            <w:tcW w:w="2593" w:type="dxa"/>
            <w:gridSpan w:val="2"/>
            <w:tcBorders>
              <w:top w:val="double" w:sz="7" w:color="000000"/>
              <w:left w:val="nil"/>
              <w:bottom w:val="single" w:sz="14" w:color="000000"/>
              <w:right w:val="nil"/>
            </w:tcBorders>
            <w:vAlign w:val="top"/>
          </w:tcPr>
          <w:p>
            <w:pPr>
              <w:spacing w:before="0" w:after="0" w:line="259" w:lineRule="auto"/>
              <w:ind w:left="0" w:right="95" w:firstLine="0"/>
              <w:jc w:val="right"/>
            </w:pPr>
            <w:r>
              <w:rPr>
                <w:rFonts w:cs="Calibri" w:hAnsi="Calibri" w:eastAsia="Calibri" w:ascii="Calibri"/>
                <w:b w:val="1"/>
                <w:sz w:val="20"/>
              </w:rPr>
              <w:t xml:space="preserve">Subtotal:</w:t>
            </w:r>
          </w:p>
        </w:tc>
        <w:tc>
          <w:tcPr>
            <w:tcW w:w="1354" w:type="dxa"/>
            <w:tcBorders>
              <w:top w:val="double" w:sz="7" w:color="000000"/>
              <w:left w:val="nil"/>
              <w:bottom w:val="single" w:sz="14" w:color="000000"/>
              <w:right w:val="nil"/>
            </w:tcBorders>
            <w:vAlign w:val="top"/>
          </w:tcPr>
          <w:p>
            <w:pPr>
              <w:spacing w:before="0" w:after="0" w:line="259" w:lineRule="auto"/>
              <w:ind w:left="95" w:right="0" w:firstLine="0"/>
              <w:jc w:val="left"/>
            </w:pPr>
            <w:r>
              <w:rPr>
                <w:rFonts w:cs="Calibri" w:hAnsi="Calibri" w:eastAsia="Calibri" w:ascii="Calibri"/>
                <w:b w:val="1"/>
                <w:sz w:val="20"/>
              </w:rPr>
              <w:t xml:space="preserve">$((((300,000.00</w:t>
            </w:r>
            <w:r>
              <w:rPr>
                <w:rFonts w:cs="Calibri" w:hAnsi="Calibri" w:eastAsia="Calibri" w:ascii="Calibri"/>
                <w:b w:val="1"/>
                <w:sz w:val="20"/>
              </w:rPr>
              <w:t xml:space="preserve">(</w:t>
            </w:r>
          </w:p>
        </w:tc>
      </w:tr>
      <w:tr>
        <w:trPr>
          <w:trHeight w:val="265" w:hRule="atLeast"/>
        </w:trPr>
        <w:tc>
          <w:tcPr>
            <w:tcW w:w="8360" w:type="dxa"/>
            <w:gridSpan w:val="5"/>
            <w:tcBorders>
              <w:top w:val="single" w:sz="14" w:color="000000"/>
              <w:left w:val="single" w:sz="14" w:color="000000"/>
              <w:bottom w:val="single" w:sz="14" w:color="000000"/>
              <w:right w:val="nil"/>
            </w:tcBorders>
            <w:shd w:val="clear" w:fill="f3dcda"/>
            <w:vAlign w:val="top"/>
          </w:tcPr>
          <w:p>
            <w:pPr>
              <w:bidi w:val="0"/>
              <w:spacing w:before="0" w:after="160" w:line="259" w:lineRule="auto"/>
              <w:ind w:left="0" w:right="0" w:firstLine="0"/>
              <w:jc w:val="left"/>
            </w:pPr>
          </w:p>
        </w:tc>
        <w:tc>
          <w:tcPr>
            <w:tcW w:w="2593" w:type="dxa"/>
            <w:gridSpan w:val="2"/>
            <w:tcBorders>
              <w:top w:val="single" w:sz="14" w:color="000000"/>
              <w:left w:val="nil"/>
              <w:bottom w:val="single" w:sz="14" w:color="000000"/>
              <w:right w:val="single" w:sz="14" w:color="000000"/>
            </w:tcBorders>
            <w:shd w:val="clear" w:fill="f3dcda"/>
            <w:vAlign w:val="top"/>
          </w:tcPr>
          <w:p>
            <w:pPr>
              <w:spacing w:before="0" w:after="0" w:line="259" w:lineRule="auto"/>
              <w:ind w:left="0" w:right="93" w:firstLine="0"/>
              <w:jc w:val="right"/>
            </w:pPr>
            <w:r>
              <w:rPr>
                <w:rFonts w:cs="Calibri" w:hAnsi="Calibri" w:eastAsia="Calibri" w:ascii="Calibri"/>
                <w:b w:val="1"/>
                <w:sz w:val="20"/>
              </w:rPr>
              <w:t xml:space="preserve">TOTAL(COMPONENT(5:</w:t>
            </w:r>
          </w:p>
        </w:tc>
        <w:tc>
          <w:tcPr>
            <w:tcW w:w="1354" w:type="dxa"/>
            <w:tcBorders>
              <w:top w:val="single" w:sz="14" w:color="000000"/>
              <w:left w:val="single" w:sz="14" w:color="000000"/>
              <w:bottom w:val="single" w:sz="14" w:color="000000"/>
              <w:right w:val="single" w:sz="14" w:color="000000"/>
            </w:tcBorders>
            <w:shd w:val="clear" w:fill="f3dcda"/>
            <w:vAlign w:val="top"/>
          </w:tcPr>
          <w:p>
            <w:pPr>
              <w:spacing w:before="0" w:after="0" w:line="259" w:lineRule="auto"/>
              <w:ind w:left="171" w:right="0" w:firstLine="0"/>
              <w:jc w:val="left"/>
            </w:pPr>
            <w:r>
              <w:rPr>
                <w:rFonts w:cs="Calibri" w:hAnsi="Calibri" w:eastAsia="Calibri" w:ascii="Calibri"/>
                <w:b w:val="1"/>
                <w:sz w:val="20"/>
              </w:rPr>
              <w:t xml:space="preserve">$1,554,230.06</w:t>
            </w:r>
          </w:p>
        </w:tc>
      </w:tr>
    </w:tbl>
    <w:p>
      <w:pPr>
        <w:spacing w:before="0" w:after="80" w:line="259" w:lineRule="auto"/>
        <w:ind w:left="5907" w:right="0"/>
        <w:jc w:val="left"/>
      </w:pPr>
      <w:r>
        <w:rPr>
          <w:rFonts w:cs="Calibri" w:hAnsi="Calibri" w:eastAsia="Calibri" w:ascii="Calibri"/>
          <w:sz w:val="20"/>
        </w:rPr>
        <w:t xml:space="preserve">2*OF*2</w:t>
      </w:r>
    </w:p>
    <w:p>
      <w:pPr>
        <w:sectPr>
          <w:headerReference w:type="even" r:id="rId59"/>
          <w:headerReference w:type="default" r:id="rId57"/>
          <w:headerReference w:type="first" r:id="rId55"/>
          <w:footerReference w:type="even" r:id="rId60"/>
          <w:footerReference w:type="default" r:id="rId58"/>
          <w:footerReference w:type="first" r:id="rId56"/>
          <w:pgSz w:w="15840" w:h="12240" w:orient="landscape"/>
          <w:pgMar w:header="1014" w:footer="1046" w:left="1747" w:top="1594" w:right="1980" w:bottom="1041"/>
          <w:cols/>
        </w:sectPr>
      </w:pPr>
    </w:p>
    <w:tbl>
      <w:tblPr>
        <w:tblStyle w:val="TableGrid"/>
        <w:tblpPr w:horzAnchor="text" w:tblpX="718" w:vertAnchor="text" w:tblpY="-215"/>
        <w:tblOverlap w:val="never"/>
        <w:tblW w:w="11519" w:type="dxa"/>
        <w:tblInd w:w="0" w:type="dxa"/>
        <w:tblCellMar>
          <w:top w:w="0" w:type="dxa"/>
          <w:left w:w="29" w:type="dxa"/>
          <w:bottom w:w="0" w:type="dxa"/>
          <w:right w:w="0" w:type="dxa"/>
        </w:tblCellMar>
      </w:tblPr>
      <w:tblGrid>
        <w:gridCol w:w="2477"/>
        <w:gridCol w:w="1627"/>
        <w:gridCol w:w="7415"/>
      </w:tblGrid>
      <w:tr>
        <w:trPr>
          <w:trHeight w:val="359" w:hRule="atLeast"/>
        </w:trPr>
        <w:tc>
          <w:tcPr>
            <w:tcW w:w="2477" w:type="dxa"/>
            <w:tcBorders>
              <w:top w:val="single" w:sz="10" w:color="000000"/>
              <w:left w:val="single" w:sz="10" w:color="000000"/>
              <w:bottom w:val="single" w:sz="5" w:color="000000"/>
              <w:right w:val="single" w:sz="5"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RISKS</w:t>
            </w:r>
          </w:p>
        </w:tc>
        <w:tc>
          <w:tcPr>
            <w:tcW w:w="1627" w:type="dxa"/>
            <w:tcBorders>
              <w:top w:val="single" w:sz="10" w:color="000000"/>
              <w:left w:val="single" w:sz="5" w:color="000000"/>
              <w:bottom w:val="single" w:sz="5" w:color="000000"/>
              <w:right w:val="single" w:sz="5" w:color="000000"/>
            </w:tcBorders>
            <w:shd w:val="clear" w:fill="95b3d7"/>
            <w:vAlign w:val="top"/>
          </w:tcPr>
          <w:p>
            <w:pPr>
              <w:spacing w:before="0" w:after="0" w:line="259" w:lineRule="auto"/>
              <w:ind w:left="0" w:right="0" w:firstLine="0"/>
              <w:jc w:val="center"/>
            </w:pPr>
            <w:r>
              <w:rPr>
                <w:rFonts w:cs="Calibri" w:hAnsi="Calibri" w:eastAsia="Calibri" w:ascii="Calibri"/>
                <w:b w:val="1"/>
                <w:sz w:val="14"/>
              </w:rPr>
              <w:t xml:space="preserve">IMPACT LEVEL AND PROBABILITY</w:t>
            </w:r>
          </w:p>
        </w:tc>
        <w:tc>
          <w:tcPr>
            <w:tcW w:w="7415" w:type="dxa"/>
            <w:tcBorders>
              <w:top w:val="single" w:sz="10" w:color="000000"/>
              <w:left w:val="single" w:sz="5" w:color="000000"/>
              <w:bottom w:val="single" w:sz="5"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MANAGEMENT MEASURES </w:t>
            </w:r>
          </w:p>
        </w:tc>
      </w:tr>
      <w:tr>
        <w:trPr>
          <w:trHeight w:val="180" w:hRule="atLeast"/>
        </w:trPr>
        <w:tc>
          <w:tcPr>
            <w:tcW w:w="11519" w:type="dxa"/>
            <w:gridSpan w:val="3"/>
            <w:tcBorders>
              <w:top w:val="single" w:sz="5" w:color="000000"/>
              <w:left w:val="single" w:sz="10" w:color="000000"/>
              <w:bottom w:val="nil"/>
              <w:right w:val="single" w:sz="10" w:color="000000"/>
            </w:tcBorders>
            <w:shd w:val="clear" w:fill="dbe5f1"/>
            <w:vAlign w:val="top"/>
          </w:tcPr>
          <w:p>
            <w:pPr>
              <w:bidi w:val="0"/>
              <w:spacing w:before="0" w:after="160" w:line="259" w:lineRule="auto"/>
              <w:ind w:left="0" w:right="0" w:firstLine="0"/>
              <w:jc w:val="left"/>
            </w:pPr>
          </w:p>
        </w:tc>
      </w:tr>
      <w:tr>
        <w:trPr>
          <w:trHeight w:val="179" w:hRule="atLeast"/>
        </w:trPr>
        <w:tc>
          <w:tcPr>
            <w:tcW w:w="11519" w:type="dxa"/>
            <w:gridSpan w:val="3"/>
            <w:tcBorders>
              <w:top w:val="nil"/>
              <w:left w:val="single" w:sz="10" w:color="000000"/>
              <w:bottom w:val="single" w:sz="10" w:color="000000"/>
              <w:right w:val="single" w:sz="10" w:color="000000"/>
            </w:tcBorders>
            <w:shd w:val="clear" w:fill="dbe5f1"/>
            <w:vAlign w:val="top"/>
          </w:tcPr>
          <w:p>
            <w:pPr>
              <w:spacing w:before="0" w:after="0" w:line="259" w:lineRule="auto"/>
              <w:ind w:left="0" w:right="0" w:firstLine="0"/>
              <w:jc w:val="left"/>
            </w:pPr>
            <w:r>
              <w:rPr>
                <w:rFonts w:cs="Calibri" w:hAnsi="Calibri" w:eastAsia="Calibri" w:ascii="Calibri"/>
                <w:b w:val="1"/>
                <w:sz w:val="14"/>
              </w:rPr>
              <w:t xml:space="preserve"> A.      Macro-Level Constitutional and  Political Process Risks:  </w:t>
            </w:r>
          </w:p>
        </w:tc>
      </w:tr>
      <w:tr>
        <w:trPr>
          <w:trHeight w:val="255"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1.       Delays in the Constitutional reform process:  The on-going Constitution Review (RC) process does not adhere to the time lines, and a new draft Constitution is not completed in time for an April 2014 referendum.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center"/>
            </w:pPr>
            <w:r>
              <w:rPr>
                <w:rFonts w:cs="Calibri" w:hAnsi="Calibri" w:eastAsia="Calibri" w:ascii="Calibri"/>
                <w:b w:val="1"/>
                <w:sz w:val="14"/>
              </w:rPr>
              <w:t xml:space="preserve">HIGH IMPACT/MODERATE PROBABILITY</w:t>
            </w:r>
          </w:p>
        </w:tc>
        <w:tc>
          <w:tcPr>
            <w:tcW w:w="7415" w:type="dxa"/>
            <w:tcBorders>
              <w:top w:val="single" w:sz="10" w:color="000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1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UNRC will follow up with government actors at relevant levels on progress in the political process.</w:t>
            </w:r>
          </w:p>
        </w:tc>
      </w:tr>
      <w:tr>
        <w:trPr>
          <w:trHeight w:val="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3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Constant monitoring of the Constitutional Review process is required.  DEP will request regular updates on CR process from relevant PSC Members so as to take appropriate corrective measures when and where necessary. </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both EMBs on the development of contingency planning scenarios dealing with delays in various aspects of the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electoral calendar:  registration update; the referendum, voter registration update; and the general elections.  </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Project Action: Scenarios will look at staffing, cost and process management questions involved in coping with such delays.</w:t>
            </w:r>
          </w:p>
        </w:tc>
      </w:tr>
      <w:tr>
        <w:trPr>
          <w:trHeight w:val="214"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bidi w:val="0"/>
              <w:spacing w:before="0" w:after="160" w:line="259" w:lineRule="auto"/>
              <w:ind w:left="0" w:right="0" w:firstLine="0"/>
              <w:jc w:val="left"/>
            </w:pPr>
          </w:p>
        </w:tc>
      </w:tr>
      <w:tr>
        <w:trPr>
          <w:trHeight w:val="207"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61" w:lineRule="auto"/>
              <w:ind w:left="0" w:right="0" w:firstLine="0"/>
              <w:jc w:val="center"/>
            </w:pPr>
            <w:r>
              <w:rPr>
                <w:sz w:val="14"/>
              </w:rPr>
              <w:t xml:space="preserve">2.</w:t>
            </w:r>
            <w:r>
              <w:rPr>
                <w:rFonts w:cs="Times New Roman" w:hAnsi="Times New Roman" w:eastAsia="Times New Roman" w:ascii="Times New Roman"/>
                <w:sz w:val="9"/>
              </w:rPr>
              <w:t xml:space="preserve">      </w:t>
            </w:r>
            <w:r>
              <w:rPr>
                <w:sz w:val="14"/>
              </w:rPr>
              <w:t xml:space="preserve">Electoral Reform Stalls</w:t>
            </w:r>
            <w:r>
              <w:rPr>
                <w:rFonts w:cs="Times New Roman" w:hAnsi="Times New Roman" w:eastAsia="Times New Roman" w:ascii="Times New Roman"/>
                <w:sz w:val="9"/>
              </w:rPr>
              <w:t xml:space="preserve">: </w:t>
            </w:r>
            <w:r>
              <w:rPr>
                <w:sz w:val="14"/>
              </w:rPr>
              <w:t xml:space="preserve">Political will and ability to introduce expected broad </w:t>
            </w:r>
          </w:p>
          <w:p>
            <w:pPr>
              <w:spacing w:before="0" w:after="0" w:line="259" w:lineRule="auto"/>
              <w:ind w:left="24" w:right="0" w:firstLine="0"/>
            </w:pPr>
            <w:r>
              <w:rPr>
                <w:sz w:val="14"/>
              </w:rPr>
              <w:t xml:space="preserve">reforms to Election management structure </w:t>
            </w:r>
          </w:p>
          <w:p>
            <w:pPr>
              <w:spacing w:before="0" w:after="0" w:line="259" w:lineRule="auto"/>
              <w:ind w:left="0" w:right="0" w:firstLine="0"/>
              <w:jc w:val="center"/>
            </w:pPr>
            <w:r>
              <w:rPr>
                <w:sz w:val="14"/>
              </w:rPr>
              <w:t xml:space="preserve">and functions – specifically changes related to political and financial independence of the EMB.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401" w:right="0" w:hanging="276"/>
              <w:jc w:val="left"/>
            </w:pPr>
            <w:r>
              <w:rPr>
                <w:rFonts w:cs="Calibri" w:hAnsi="Calibri" w:eastAsia="Calibri" w:ascii="Calibri"/>
                <w:b w:val="1"/>
                <w:i w:val="1"/>
                <w:sz w:val="14"/>
              </w:rPr>
              <w:t xml:space="preserve">HIGH RISK/MODERATE PROBABILITY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27" w:firstLine="0"/>
              <w:jc w:val="center"/>
            </w:pPr>
            <w:r>
              <w:rPr>
                <w:sz w:val="14"/>
              </w:rPr>
              <w:t xml:space="preserve">The Constitutional reform process is expected to have a large impact on the legal and institutional framework for democratic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22" w:right="0" w:firstLine="0"/>
            </w:pPr>
            <w:r>
              <w:rPr>
                <w:sz w:val="14"/>
              </w:rPr>
              <w:t xml:space="preserve">institutions in Tanzania. This is mainly due to the fact that the CR process is essentially a political process galvanised by the apparent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7" w:firstLine="0"/>
              <w:jc w:val="center"/>
            </w:pPr>
            <w:r>
              <w:rPr>
                <w:sz w:val="14"/>
              </w:rPr>
              <w:t xml:space="preserve">ineptness of the current laws to provide for competitive politics. The UN system in Tanzania are keeping abreast of these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2" w:right="0" w:firstLine="0"/>
            </w:pPr>
            <w:r>
              <w:rPr>
                <w:sz w:val="14"/>
              </w:rPr>
              <w:t xml:space="preserve">developments and discussions are held between the RC and relevant national stakeholders. The PSC members through the friends of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5" w:firstLine="0"/>
              <w:jc w:val="center"/>
            </w:pPr>
            <w:r>
              <w:rPr>
                <w:sz w:val="14"/>
              </w:rPr>
              <w:t xml:space="preserve">2015 group are also encouraged to do the same at the relevant level. </w:t>
            </w:r>
          </w:p>
        </w:tc>
      </w:tr>
      <w:tr>
        <w:trPr>
          <w:trHeight w:val="20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6" w:color="ffff00"/>
              <w:right w:val="single" w:sz="10" w:color="000000"/>
            </w:tcBorders>
            <w:shd w:val="clear" w:fill="ffff00"/>
            <w:vAlign w:val="top"/>
          </w:tcPr>
          <w:p>
            <w:pPr>
              <w:bidi w:val="0"/>
              <w:spacing w:before="0" w:after="160" w:line="259" w:lineRule="auto"/>
              <w:ind w:left="0" w:right="0" w:firstLine="0"/>
              <w:jc w:val="left"/>
            </w:pPr>
          </w:p>
        </w:tc>
      </w:tr>
      <w:tr>
        <w:trPr>
          <w:trHeight w:val="15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6"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66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 w:firstLine="0"/>
              <w:jc w:val="left"/>
            </w:pPr>
            <w:r>
              <w:rPr>
                <w:rFonts w:cs="Calibri" w:hAnsi="Calibri" w:eastAsia="Calibri" w:ascii="Calibri"/>
                <w:i w:val="1"/>
                <w:sz w:val="14"/>
              </w:rPr>
              <w:t xml:space="preserve">More substantial public opinion research including focus groups than is currently envisioned in DEP should be undertaken outside of DEP.  Understanding the ebb and flow of public opinion will be useful in managing risks for DEP and will be useful for GOT and political stakeholders.  It can also be useful in dealing with conflict management issues.</w:t>
            </w:r>
          </w:p>
        </w:tc>
      </w:tr>
      <w:tr>
        <w:trPr>
          <w:trHeight w:val="8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344"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Public opinion polls and pervasive speech monitoring could be introduced as a tolerance level barometer. </w:t>
            </w:r>
          </w:p>
        </w:tc>
      </w:tr>
      <w:tr>
        <w:trPr>
          <w:trHeight w:val="98" w:hRule="atLeast"/>
        </w:trPr>
        <w:tc>
          <w:tcPr>
            <w:tcW w:w="247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181"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3.</w:t>
            </w:r>
            <w:r>
              <w:rPr>
                <w:rFonts w:cs="Times New Roman" w:hAnsi="Times New Roman" w:eastAsia="Times New Roman" w:ascii="Times New Roman"/>
                <w:sz w:val="9"/>
              </w:rPr>
              <w:t xml:space="preserve"> </w:t>
            </w:r>
            <w:r>
              <w:rPr>
                <w:sz w:val="14"/>
              </w:rPr>
              <w:t xml:space="preserve">     Massive Reform: The CR process introduces sweeping change in the legal framework of Tanzania’s political process, including elections and political parties.</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374" w:right="0" w:hanging="348"/>
              <w:jc w:val="left"/>
            </w:pPr>
            <w:r>
              <w:rPr>
                <w:rFonts w:cs="Calibri" w:hAnsi="Calibri" w:eastAsia="Calibri" w:ascii="Calibri"/>
                <w:b w:val="1"/>
                <w:i w:val="1"/>
                <w:sz w:val="14"/>
              </w:rPr>
              <w:t xml:space="preserve">HIGH IMPACT/MODERATE PROBABLILITY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NEC must engage closely with the CR process in order to ensure that mechanisms are in place to deliver the general elections during </w:t>
            </w:r>
          </w:p>
        </w:tc>
      </w:tr>
      <w:tr>
        <w:trPr>
          <w:trHeight w:val="22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9" w:color="ffff00"/>
              <w:right w:val="single" w:sz="10" w:color="000000"/>
            </w:tcBorders>
            <w:shd w:val="clear" w:fill="ffff00"/>
            <w:vAlign w:val="top"/>
          </w:tcPr>
          <w:p>
            <w:pPr>
              <w:spacing w:before="0" w:after="0" w:line="259" w:lineRule="auto"/>
              <w:ind w:left="0" w:right="0" w:firstLine="0"/>
              <w:jc w:val="left"/>
            </w:pPr>
            <w:r>
              <w:rPr>
                <w:sz w:val="14"/>
              </w:rPr>
              <w:t xml:space="preserve">a period of electoral reform.</w:t>
            </w:r>
          </w:p>
        </w:tc>
      </w:tr>
      <w:tr>
        <w:trPr>
          <w:trHeight w:val="10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9"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7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 Such mechanisms are typically enshrined in “transitional provisions” of a new Constitution which put forth a timetable for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implementing changes.  It seems likely that the 2015 general elections will be conducted under the provisions of a new Constitution, </w:t>
            </w:r>
          </w:p>
        </w:tc>
      </w:tr>
      <w:tr>
        <w:trPr>
          <w:trHeight w:val="25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should the referendum pass.</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PSC will keep a close eye on the process and engage with the GOT and other stakeholders to ensure that both sufficient time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and funding are made available to support the work of the EMBs.</w:t>
            </w:r>
          </w:p>
        </w:tc>
      </w:tr>
      <w:tr>
        <w:trPr>
          <w:trHeight w:val="37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7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42"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The project will provide the EMBs with legal expertise to demystify and operationalise the new legal framework.</w:t>
            </w:r>
          </w:p>
        </w:tc>
      </w:tr>
    </w:tbl>
    <w:tbl>
      <w:tblPr>
        <w:tblStyle w:val="TableGrid"/>
        <w:tblpPr w:horzAnchor="text" w:tblpX="12288" w:vertAnchor="text" w:tblpY="143"/>
        <w:tblOverlap w:val="never"/>
        <w:tblW w:w="1121" w:type="dxa"/>
        <w:tblInd w:w="0" w:type="dxa"/>
        <w:tblCellMar>
          <w:top w:w="23" w:type="dxa"/>
          <w:left w:w="29" w:type="dxa"/>
          <w:bottom w:w="0" w:type="dxa"/>
          <w:right w:w="115" w:type="dxa"/>
        </w:tblCellMar>
      </w:tblPr>
      <w:tblGrid>
        <w:gridCol w:w="1121"/>
      </w:tblGrid>
      <w:tr>
        <w:trPr>
          <w:trHeight w:val="181" w:hRule="atLeast"/>
        </w:trPr>
        <w:tc>
          <w:tcPr>
            <w:tcW w:w="1121" w:type="dxa"/>
            <w:tcBorders>
              <w:top w:val="nil"/>
              <w:left w:val="nil"/>
              <w:bottom w:val="nil"/>
              <w:right w:val="nil"/>
            </w:tcBorders>
            <w:shd w:val="clear" w:fill="ffff00"/>
            <w:vAlign w:val="top"/>
          </w:tcPr>
          <w:p>
            <w:pPr>
              <w:spacing w:before="0" w:after="0" w:line="259" w:lineRule="auto"/>
              <w:ind w:left="0" w:right="0" w:firstLine="0"/>
              <w:jc w:val="left"/>
            </w:pPr>
            <w:r>
              <w:rPr>
                <w:sz w:val="14"/>
              </w:rPr>
              <w:t xml:space="preserve">Political action</w:t>
            </w:r>
          </w:p>
        </w:tc>
      </w:tr>
      <w:tr>
        <w:trPr>
          <w:trHeight w:val="181" w:hRule="atLeast"/>
        </w:trPr>
        <w:tc>
          <w:tcPr>
            <w:tcW w:w="1121" w:type="dxa"/>
            <w:tcBorders>
              <w:top w:val="nil"/>
              <w:left w:val="nil"/>
              <w:bottom w:val="nil"/>
              <w:right w:val="nil"/>
            </w:tcBorders>
            <w:shd w:val="clear" w:fill="ffc000"/>
            <w:vAlign w:val="top"/>
          </w:tcPr>
          <w:p>
            <w:pPr>
              <w:spacing w:before="0" w:after="0" w:line="259" w:lineRule="auto"/>
              <w:ind w:left="0" w:right="0" w:firstLine="0"/>
              <w:jc w:val="left"/>
            </w:pPr>
            <w:r>
              <w:rPr>
                <w:sz w:val="14"/>
              </w:rPr>
              <w:t xml:space="preserve">Project action</w:t>
            </w:r>
          </w:p>
        </w:tc>
      </w:tr>
    </w:tbl>
    <w:p>
      <w:pPr>
        <w:spacing w:before="0" w:after="3" w:line="259" w:lineRule="auto"/>
        <w:ind w:left="728" w:right="0"/>
        <w:jc w:val="left"/>
      </w:pPr>
      <w:r>
        <w:rPr>
          <w:rFonts w:cs="Calibri" w:hAnsi="Calibri" w:eastAsia="Calibri" w:ascii="Calibri"/>
          <w:b w:val="1"/>
          <w:sz w:val="14"/>
        </w:rPr>
        <w:t xml:space="preserve">COLOUR KEY</w:t>
      </w:r>
      <w:r>
        <w:br w:type="page"/>
      </w:r>
    </w:p>
    <w:p>
      <w:pPr>
        <w:spacing w:before="0" w:after="0" w:line="259" w:lineRule="auto"/>
        <w:ind w:left="-1440" w:right="1719" w:firstLine="0"/>
        <w:jc w:val="left"/>
      </w:pPr>
    </w:p>
    <w:tbl>
      <w:tblPr>
        <w:tblStyle w:val="TableGrid"/>
        <w:tblW w:w="11519" w:type="dxa"/>
        <w:tblInd w:w="718" w:type="dxa"/>
        <w:tblCellMar>
          <w:top w:w="39" w:type="dxa"/>
          <w:left w:w="29" w:type="dxa"/>
          <w:bottom w:w="0" w:type="dxa"/>
          <w:right w:w="12" w:type="dxa"/>
        </w:tblCellMar>
      </w:tblPr>
      <w:tblGrid>
        <w:gridCol w:w="2477"/>
        <w:gridCol w:w="1627"/>
        <w:gridCol w:w="7415"/>
      </w:tblGrid>
      <w:tr>
        <w:trPr>
          <w:trHeight w:val="108" w:hRule="atLeast"/>
        </w:trPr>
        <w:tc>
          <w:tcPr>
            <w:tcW w:w="2477"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713" w:hRule="atLeast"/>
        </w:trPr>
        <w:tc>
          <w:tcPr>
            <w:tcW w:w="247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0" w:right="0" w:firstLine="0"/>
              <w:jc w:val="left"/>
            </w:pPr>
            <w:r>
              <w:rPr>
                <w:sz w:val="14"/>
              </w:rPr>
              <w:t xml:space="preserve">4.</w:t>
            </w:r>
            <w:r>
              <w:rPr>
                <w:sz w:val="14"/>
              </w:rPr>
              <w:t xml:space="preserve">   The referendum on a new Constitution fails.</w:t>
            </w:r>
          </w:p>
        </w:tc>
        <w:tc>
          <w:tcPr>
            <w:tcW w:w="162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401" w:right="0" w:hanging="276"/>
              <w:jc w:val="left"/>
            </w:pPr>
            <w:r>
              <w:rPr>
                <w:rFonts w:cs="Calibri" w:hAnsi="Calibri" w:eastAsia="Calibri" w:ascii="Calibri"/>
                <w:b w:val="1"/>
                <w:i w:val="1"/>
                <w:sz w:val="14"/>
              </w:rPr>
              <w:t xml:space="preserve">HIGH RISK/MODERATE PROBABILITY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13" w:firstLine="0"/>
              <w:jc w:val="left"/>
            </w:pPr>
            <w:r>
              <w:rPr>
                <w:sz w:val="14"/>
              </w:rPr>
              <w:t xml:space="preserve">DEP PSC and the UNRC will take the lead in encouraging dialogue among national stakeholders on the possibility of this outcome and to find a way to resolve impasses that are likely to arise out of a rejection of the new Constitution by any part of the Union. </w:t>
            </w:r>
          </w:p>
        </w:tc>
      </w:tr>
      <w:tr>
        <w:trPr>
          <w:trHeight w:val="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55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RECOMMENDATION:   A” Friend’s of 2015” committee  at the Heads of Mission level as soon as possible to begin discussing and developing a common strategy to move forward.</w:t>
            </w:r>
          </w:p>
        </w:tc>
      </w:tr>
      <w:tr>
        <w:trPr>
          <w:trHeight w:val="7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0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both EMBs to develop contingency plans to deal with a range of proposed modifications in their mandates and electoral calendars.  </w:t>
            </w:r>
          </w:p>
        </w:tc>
      </w:tr>
      <w:tr>
        <w:trPr>
          <w:trHeight w:val="1165"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double" w:sz="10" w:color="000000"/>
              <w:right w:val="single" w:sz="10" w:color="000000"/>
            </w:tcBorders>
            <w:shd w:val="clear" w:fill="ffc000"/>
            <w:vAlign w:val="top"/>
          </w:tcPr>
          <w:p>
            <w:pPr>
              <w:spacing w:before="0" w:after="0" w:line="259" w:lineRule="auto"/>
              <w:ind w:left="0" w:right="0" w:firstLine="0"/>
              <w:jc w:val="left"/>
            </w:pPr>
            <w:r>
              <w:rPr>
                <w:sz w:val="14"/>
              </w:rPr>
              <w:t xml:space="preserve">Actual electoral operations will only be adjusted when there is new legislation in place. NOTE: Current planning by both EMBs is to implement electoral calendars and operations under current legislation which means they are planning for the 2015 elections – and voter registration updates -- as if there is no new Constitution. </w:t>
            </w:r>
          </w:p>
        </w:tc>
      </w:tr>
      <w:tr>
        <w:trPr>
          <w:trHeight w:val="739" w:hRule="atLeast"/>
        </w:trPr>
        <w:tc>
          <w:tcPr>
            <w:tcW w:w="2477" w:type="dxa"/>
            <w:tcBorders>
              <w:top w:val="double" w:sz="10" w:color="000000"/>
              <w:left w:val="single" w:sz="10" w:color="000000"/>
              <w:bottom w:val="single" w:sz="10" w:color="000000"/>
              <w:right w:val="single" w:sz="10" w:color="000000"/>
            </w:tcBorders>
            <w:vAlign w:val="top"/>
          </w:tcPr>
          <w:p>
            <w:pPr>
              <w:spacing w:before="0" w:after="0" w:line="259" w:lineRule="auto"/>
              <w:ind w:left="0" w:right="0" w:firstLine="0"/>
              <w:jc w:val="left"/>
            </w:pPr>
            <w:r>
              <w:rPr>
                <w:sz w:val="14"/>
              </w:rPr>
              <w:t xml:space="preserve">5.    The draft Constitution is returned to the Constituent Assembly as prescribed by the CRA,  to revise the draft for a second referendum. And disputes ensue over the </w:t>
            </w:r>
          </w:p>
        </w:tc>
        <w:tc>
          <w:tcPr>
            <w:tcW w:w="1627" w:type="dxa"/>
            <w:tcBorders>
              <w:top w:val="double" w:sz="10" w:color="000000"/>
              <w:left w:val="single" w:sz="10" w:color="000000"/>
              <w:bottom w:val="sing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Monitoring of the public opinion on pertinent issues i.e. the format for the Union on Zanzibar will be conducted by UN staff on the ground. Additional reinforcements will be provided through the deployment of a DPA mission before the referendum.</w:t>
            </w:r>
          </w:p>
        </w:tc>
      </w:tr>
      <w:tr>
        <w:trPr>
          <w:trHeight w:val="777"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6.</w:t>
            </w:r>
            <w:r>
              <w:rPr>
                <w:sz w:val="14"/>
              </w:rPr>
              <w:t xml:space="preserve">  A second referendum on a revised draft Constitution is rejected.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39" w:firstLine="0"/>
              <w:jc w:val="center"/>
            </w:pPr>
            <w:r>
              <w:rPr>
                <w:rFonts w:cs="Calibri" w:hAnsi="Calibri" w:eastAsia="Calibri" w:ascii="Calibri"/>
                <w:b w:val="1"/>
                <w:i w:val="1"/>
                <w:sz w:val="14"/>
              </w:rPr>
              <w:t xml:space="preserve">MODERATE </w:t>
            </w:r>
          </w:p>
          <w:p>
            <w:pPr>
              <w:spacing w:before="0" w:after="0" w:line="259" w:lineRule="auto"/>
              <w:ind w:left="0" w:right="39" w:firstLine="0"/>
              <w:jc w:val="center"/>
            </w:pPr>
            <w:r>
              <w:rPr>
                <w:rFonts w:cs="Calibri" w:hAnsi="Calibri" w:eastAsia="Calibri" w:ascii="Calibri"/>
                <w:b w:val="1"/>
                <w:i w:val="1"/>
                <w:sz w:val="14"/>
              </w:rPr>
              <w:t xml:space="preserve">RISK/MODERATE </w:t>
            </w:r>
          </w:p>
          <w:p>
            <w:pPr>
              <w:spacing w:before="0" w:after="0" w:line="259" w:lineRule="auto"/>
              <w:ind w:left="0" w:right="39" w:firstLine="0"/>
              <w:jc w:val="center"/>
            </w:pPr>
            <w:r>
              <w:rPr>
                <w:rFonts w:cs="Calibri" w:hAnsi="Calibri" w:eastAsia="Calibri" w:ascii="Calibri"/>
                <w:b w:val="1"/>
                <w:i w:val="1"/>
                <w:sz w:val="14"/>
              </w:rPr>
              <w:t xml:space="preserve">PROBABILITY</w:t>
            </w: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assist and support appropriate contingency planning.  The PSC will work with other key stakeholders to ensure that they are aware of the constraints on EMB operations due to delays.</w:t>
            </w:r>
          </w:p>
        </w:tc>
      </w:tr>
      <w:tr>
        <w:trPr>
          <w:trHeight w:val="56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Serious conflict prevention/mitigation efforts will be introduced through appropriate adjustment to the project document under the leadership of the PSC.</w:t>
            </w:r>
          </w:p>
        </w:tc>
      </w:tr>
      <w:tr>
        <w:trPr>
          <w:trHeight w:val="9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206"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Appropriate political dialogue mechanisms introduced through consultations between stakeholders.</w:t>
            </w:r>
          </w:p>
        </w:tc>
      </w:tr>
      <w:tr>
        <w:trPr>
          <w:trHeight w:val="79" w:hRule="atLeast"/>
        </w:trPr>
        <w:tc>
          <w:tcPr>
            <w:tcW w:w="247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479" w:hRule="atLeast"/>
        </w:trPr>
        <w:tc>
          <w:tcPr>
            <w:tcW w:w="2477" w:type="dxa"/>
            <w:tcBorders>
              <w:top w:val="single" w:sz="10" w:color="000000"/>
              <w:left w:val="single" w:sz="10" w:color="000000"/>
              <w:bottom w:val="double" w:sz="10" w:color="000000"/>
              <w:right w:val="single" w:sz="10" w:color="000000"/>
            </w:tcBorders>
            <w:vAlign w:val="top"/>
          </w:tcPr>
          <w:p>
            <w:pPr>
              <w:spacing w:before="0" w:after="0" w:line="259" w:lineRule="auto"/>
              <w:ind w:left="0" w:right="0" w:firstLine="0"/>
              <w:jc w:val="left"/>
            </w:pPr>
            <w:r>
              <w:rPr>
                <w:sz w:val="14"/>
              </w:rPr>
              <w:t xml:space="preserve">7.</w:t>
            </w:r>
            <w:r>
              <w:rPr>
                <w:sz w:val="14"/>
              </w:rPr>
              <w:t xml:space="preserve">  The referendum passes and Tanzania has a new Constitution.  </w:t>
            </w:r>
          </w:p>
        </w:tc>
        <w:tc>
          <w:tcPr>
            <w:tcW w:w="1627" w:type="dxa"/>
            <w:tcBorders>
              <w:top w:val="single" w:sz="10" w:color="000000"/>
              <w:left w:val="single" w:sz="10" w:color="000000"/>
              <w:bottom w:val="double" w:sz="10" w:color="000000"/>
              <w:right w:val="single" w:sz="10" w:color="000000"/>
            </w:tcBorders>
            <w:vAlign w:val="top"/>
          </w:tcPr>
          <w:p>
            <w:pPr>
              <w:spacing w:before="0" w:after="0" w:line="259" w:lineRule="auto"/>
              <w:ind w:left="400" w:right="0" w:hanging="98"/>
              <w:jc w:val="left"/>
            </w:pPr>
            <w:r>
              <w:rPr>
                <w:rFonts w:cs="Calibri" w:hAnsi="Calibri" w:eastAsia="Calibri" w:ascii="Calibri"/>
                <w:b w:val="1"/>
                <w:i w:val="1"/>
                <w:sz w:val="14"/>
              </w:rPr>
              <w:t xml:space="preserve"> LOW RISK/HIGH PROBABILITY</w:t>
            </w:r>
          </w:p>
        </w:tc>
        <w:tc>
          <w:tcPr>
            <w:tcW w:w="7415" w:type="dxa"/>
            <w:tcBorders>
              <w:top w:val="single" w:sz="10" w:color="000000"/>
              <w:left w:val="single" w:sz="10" w:color="000000"/>
              <w:bottom w:val="double" w:sz="10" w:color="000000"/>
              <w:right w:val="single" w:sz="10" w:color="000000"/>
            </w:tcBorders>
            <w:shd w:val="clear" w:fill="ffff00"/>
            <w:vAlign w:val="top"/>
          </w:tcPr>
          <w:p>
            <w:pPr>
              <w:spacing w:before="0" w:after="0" w:line="259" w:lineRule="auto"/>
              <w:ind w:left="0" w:right="0" w:firstLine="0"/>
              <w:jc w:val="center"/>
            </w:pPr>
            <w:r>
              <w:rPr>
                <w:sz w:val="14"/>
              </w:rPr>
              <w:t xml:space="preserve">An analysis of the contents of the first draft Constitution issued by the CRC on Monday 3rd June 2013 conducted to determine initial impact on electoral event and update risk analysis accordingly. </w:t>
            </w:r>
          </w:p>
        </w:tc>
      </w:tr>
      <w:tr>
        <w:trPr>
          <w:trHeight w:val="493" w:hRule="atLeast"/>
        </w:trPr>
        <w:tc>
          <w:tcPr>
            <w:tcW w:w="2477" w:type="dxa"/>
            <w:vMerge w:val="restart"/>
            <w:tcBorders>
              <w:top w:val="double" w:sz="10" w:color="000000"/>
              <w:left w:val="single" w:sz="10" w:color="000000"/>
              <w:bottom w:val="nil"/>
              <w:right w:val="single" w:sz="10" w:color="000000"/>
            </w:tcBorders>
            <w:vAlign w:val="center"/>
          </w:tcPr>
          <w:p>
            <w:pPr>
              <w:spacing w:before="0" w:after="1" w:line="259" w:lineRule="auto"/>
              <w:ind w:left="0" w:right="0" w:firstLine="0"/>
              <w:jc w:val="left"/>
            </w:pPr>
            <w:r>
              <w:rPr>
                <w:sz w:val="14"/>
              </w:rPr>
              <w:t xml:space="preserve">8.</w:t>
            </w:r>
            <w:r>
              <w:rPr>
                <w:rFonts w:cs="Times New Roman" w:hAnsi="Times New Roman" w:eastAsia="Times New Roman" w:ascii="Times New Roman"/>
                <w:sz w:val="9"/>
              </w:rPr>
              <w:t xml:space="preserve">       </w:t>
            </w:r>
            <w:r>
              <w:rPr>
                <w:sz w:val="14"/>
              </w:rPr>
              <w:t xml:space="preserve">Sweeping Change:  The new </w:t>
            </w:r>
          </w:p>
          <w:p>
            <w:pPr>
              <w:spacing w:before="0" w:after="0" w:line="259" w:lineRule="auto"/>
              <w:ind w:left="0" w:right="0" w:firstLine="0"/>
              <w:jc w:val="left"/>
            </w:pPr>
            <w:r>
              <w:rPr>
                <w:sz w:val="14"/>
              </w:rPr>
              <w:t xml:space="preserve">Constitution requires massive changes to the legal frameworks for elections result in further post-referendum delays in the drafting of new laws and Parliamentary debate on required new/revised legislations delayed.    </w:t>
            </w:r>
          </w:p>
        </w:tc>
        <w:tc>
          <w:tcPr>
            <w:tcW w:w="1627" w:type="dxa"/>
            <w:vMerge w:val="restart"/>
            <w:tcBorders>
              <w:top w:val="double" w:sz="10" w:color="000000"/>
              <w:left w:val="single" w:sz="10" w:color="000000"/>
              <w:bottom w:val="nil"/>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Careful monitoring of the situation regarding progress to draft and enact necessary revised/new legislation related to the electoral process and the timing of passage will be required by the PSC.  </w:t>
            </w:r>
          </w:p>
        </w:tc>
      </w:tr>
      <w:tr>
        <w:trPr>
          <w:trHeight w:val="96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Both EMBs provide recommendations to government regarding revisions to and the drafting of new electoral legislation.  DEP will provide technical support to both EMBs in the drafting of new legislation, policies, regulations and guidelines. Capacity building activities for the EMBs, which have been designed to cater to more sustainable institutional support for the effective functioning of the EMBs, also includes legislative drafting. </w:t>
            </w:r>
          </w:p>
        </w:tc>
      </w:tr>
      <w:tr>
        <w:trPr>
          <w:trHeight w:val="60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5" w:firstLine="0"/>
              <w:jc w:val="left"/>
            </w:pPr>
            <w:r>
              <w:rPr>
                <w:sz w:val="14"/>
              </w:rPr>
              <w:t xml:space="preserve">The Legislatures Support Project (LSP) that provides institutional strengthening for more effective and accountable functioning of the National Assembly and House of Representatives supported will step-up its support on electoral reform in Parliament.</w:t>
            </w:r>
          </w:p>
        </w:tc>
      </w:tr>
      <w:tr>
        <w:trPr>
          <w:trHeight w:val="99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New/revised legislation could include: a new Elections Act, an act describing the structure and functions of the NEC, a Political Parties Act, political finance legislation, and others.  These will have to be drafted and passed if the new Constitution passes the referendum.  Which laws are required prior to the general election is not known (see item 3 above).  This could pose major threats to the timing and conduct of the 2015 elections.</w:t>
            </w:r>
          </w:p>
        </w:tc>
      </w:tr>
      <w:tr>
        <w:trPr>
          <w:trHeight w:val="8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bl>
    <w:p>
      <w:pPr>
        <w:spacing w:before="0" w:after="0" w:line="259" w:lineRule="auto"/>
        <w:ind w:left="-1440" w:right="1719" w:firstLine="0"/>
        <w:jc w:val="left"/>
      </w:pPr>
    </w:p>
    <w:tbl>
      <w:tblPr>
        <w:tblStyle w:val="TableGrid"/>
        <w:tblW w:w="11519" w:type="dxa"/>
        <w:tblInd w:w="718" w:type="dxa"/>
        <w:tblCellMar>
          <w:top w:w="0" w:type="dxa"/>
          <w:left w:w="29" w:type="dxa"/>
          <w:bottom w:w="0" w:type="dxa"/>
          <w:right w:w="14" w:type="dxa"/>
        </w:tblCellMar>
      </w:tblPr>
      <w:tblGrid>
        <w:gridCol w:w="2477"/>
        <w:gridCol w:w="1627"/>
        <w:gridCol w:w="7415"/>
      </w:tblGrid>
      <w:tr>
        <w:trPr>
          <w:trHeight w:val="1646"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9.</w:t>
            </w:r>
            <w:r>
              <w:rPr>
                <w:sz w:val="14"/>
              </w:rPr>
              <w:t xml:space="preserve">       Under the new Constitution, NEC is given the mandate to manage local government elections between the referendum and general elections which are then planned for 2014 or early 2015 (between the referendum and before the general elections).</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372" w:right="0" w:hanging="247"/>
              <w:jc w:val="left"/>
            </w:pPr>
            <w:r>
              <w:rPr>
                <w:rFonts w:cs="Calibri" w:hAnsi="Calibri" w:eastAsia="Calibri" w:ascii="Calibri"/>
                <w:b w:val="1"/>
                <w:i w:val="1"/>
                <w:sz w:val="14"/>
              </w:rPr>
              <w:t xml:space="preserve">HIGH RISK/MODERATE PROBABLILITY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Local elections are technically and operational the most complex elections for any EMB.  The NEC has not previously been involved in the conduct of local elections as these have been managed under the office of the Prime Minister.  Should the mandate for managing local elections be given to the NEC and should these elections be scheduled for the period after the referendum and prior to the general elections, it would seriously and negatively impact the ability of the NEC to deliver on either local or general elections.</w:t>
            </w:r>
          </w:p>
        </w:tc>
      </w:tr>
      <w:tr>
        <w:trPr>
          <w:trHeight w:val="1326"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DEP will work closely with the NEC to monitor this issue and support them in the preparation of comprehensive contingency plans, including staffing, cost and time requirements.  PSC will work with key GOT, political party and parliamentary stakeholders to keep them informed of the impact of such decisions on EMB ability to deliver credible, cost-effective elections.</w:t>
            </w:r>
          </w:p>
        </w:tc>
      </w:tr>
      <w:tr>
        <w:trPr>
          <w:trHeight w:val="361" w:hRule="atLeast"/>
        </w:trPr>
        <w:tc>
          <w:tcPr>
            <w:tcW w:w="2477" w:type="dxa"/>
            <w:tcBorders>
              <w:top w:val="single" w:sz="10" w:color="000000"/>
              <w:left w:val="single" w:sz="10" w:color="000000"/>
              <w:bottom w:val="single" w:sz="10"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w:t>
            </w:r>
          </w:p>
        </w:tc>
        <w:tc>
          <w:tcPr>
            <w:tcW w:w="1627" w:type="dxa"/>
            <w:tcBorders>
              <w:top w:val="single" w:sz="10" w:color="000000"/>
              <w:left w:val="single" w:sz="10" w:color="000000"/>
              <w:bottom w:val="single" w:sz="10" w:color="000000"/>
              <w:right w:val="single" w:sz="10" w:color="000000"/>
            </w:tcBorders>
            <w:shd w:val="clear" w:fill="95b3d7"/>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MANAGEMENT MEASURES </w:t>
            </w:r>
          </w:p>
        </w:tc>
      </w:tr>
      <w:tr>
        <w:trPr>
          <w:trHeight w:val="370" w:hRule="atLeast"/>
        </w:trPr>
        <w:tc>
          <w:tcPr>
            <w:tcW w:w="11519" w:type="dxa"/>
            <w:gridSpan w:val="3"/>
            <w:tcBorders>
              <w:top w:val="single" w:sz="10" w:color="000000"/>
              <w:left w:val="single" w:sz="10" w:color="000000"/>
              <w:bottom w:val="single" w:sz="10" w:color="000000"/>
              <w:right w:val="single" w:sz="10" w:color="000000"/>
            </w:tcBorders>
            <w:shd w:val="clear" w:fill="c6d9f1"/>
            <w:vAlign w:val="center"/>
          </w:tcPr>
          <w:p>
            <w:pPr>
              <w:spacing w:before="0" w:after="0" w:line="259" w:lineRule="auto"/>
              <w:ind w:left="0" w:right="0" w:firstLine="0"/>
              <w:jc w:val="left"/>
            </w:pPr>
            <w:r>
              <w:rPr>
                <w:rFonts w:cs="Calibri" w:hAnsi="Calibri" w:eastAsia="Calibri" w:ascii="Calibri"/>
                <w:b w:val="1"/>
                <w:sz w:val="14"/>
              </w:rPr>
              <w:t xml:space="preserve">b.  Political Stakeholders and Public Reaction Risks:</w:t>
            </w:r>
          </w:p>
        </w:tc>
      </w:tr>
      <w:tr>
        <w:trPr>
          <w:trHeight w:val="159" w:hRule="atLeast"/>
        </w:trPr>
        <w:tc>
          <w:tcPr>
            <w:tcW w:w="11519" w:type="dxa"/>
            <w:gridSpan w:val="3"/>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404"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1.</w:t>
            </w:r>
            <w:r>
              <w:rPr>
                <w:sz w:val="14"/>
              </w:rPr>
              <w:t xml:space="preserve">       Conflict:  Violence related to the political process erupts.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67" w:right="0" w:firstLine="0"/>
              <w:jc w:val="left"/>
            </w:pPr>
            <w:r>
              <w:rPr>
                <w:rFonts w:cs="Calibri" w:hAnsi="Calibri" w:eastAsia="Calibri" w:ascii="Calibri"/>
                <w:b w:val="1"/>
                <w:i w:val="1"/>
                <w:sz w:val="14"/>
              </w:rPr>
              <w:t xml:space="preserve">HIGH IMPACT/HIGH RISK</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Efforts to avoid, prevent, mitigate and resolve electoral/political violence in Tanzania should be established as soon as possible. </w:t>
            </w:r>
          </w:p>
          <w:p>
            <w:pPr>
              <w:spacing w:before="0" w:after="0" w:line="259" w:lineRule="auto"/>
              <w:ind w:left="0" w:right="0" w:firstLine="0"/>
              <w:jc w:val="left"/>
            </w:pPr>
            <w:r>
              <w:rPr>
                <w:rFonts w:cs="Calibri" w:hAnsi="Calibri" w:eastAsia="Calibri" w:ascii="Calibri"/>
                <w:i w:val="1"/>
                <w:sz w:val="14"/>
              </w:rPr>
              <w:t xml:space="preserve">Support and coordination of activities among and between donors, implementers, political actors, the GOT and security forces and </w:t>
            </w:r>
          </w:p>
        </w:tc>
      </w:tr>
      <w:tr>
        <w:trPr>
          <w:trHeight w:val="19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with the EMBs will be critical to success.</w:t>
            </w:r>
          </w:p>
        </w:tc>
      </w:tr>
      <w:tr>
        <w:trPr>
          <w:trHeight w:val="20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Political/electoral violence emerged on the mainland in the aftermath of the 2010 elections and has continued sporadically since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then.  Zanzibar has also seen sporadic political violence.  As the constitutional reform process and the introduction of bio-metric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voter registration move forward, increased conflict and associated violence should be expected. </w:t>
            </w:r>
          </w:p>
        </w:tc>
      </w:tr>
      <w:tr>
        <w:trPr>
          <w:trHeight w:val="185"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5" w:color="ffff00"/>
              <w:right w:val="single" w:sz="10" w:color="000000"/>
            </w:tcBorders>
            <w:shd w:val="clear" w:fill="ffff00"/>
            <w:vAlign w:val="top"/>
          </w:tcPr>
          <w:p>
            <w:pPr>
              <w:bidi w:val="0"/>
              <w:spacing w:before="0" w:after="160" w:line="259" w:lineRule="auto"/>
              <w:ind w:left="0" w:right="0" w:firstLine="0"/>
              <w:jc w:val="left"/>
            </w:pPr>
          </w:p>
        </w:tc>
      </w:tr>
      <w:tr>
        <w:trPr>
          <w:trHeight w:val="12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5"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6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be directly impacted by political/electoral conflict and violence in two clear ways:  </w:t>
            </w:r>
          </w:p>
        </w:tc>
      </w:tr>
      <w:tr>
        <w:trPr>
          <w:trHeight w:val="1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First, project work will potentially be disrupted/delayed or altered.  Project and UNDP Country Office management will work to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minimize disruption while collaborating with UNDSS to ensure the welfare of project staff.</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Second, is in terms of the safety and security of project personnel and other assets.  DEP will fully implement any/all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pPr>
            <w:r>
              <w:rPr>
                <w:sz w:val="14"/>
              </w:rPr>
              <w:t xml:space="preserve">recommendations regarding safety and security made by UNDSS.  Close operational liaison will be established with UNDSS regarding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any/all safety and security issues.</w:t>
            </w:r>
          </w:p>
        </w:tc>
      </w:tr>
      <w:tr>
        <w:trPr>
          <w:trHeight w:val="20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20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Community and Inclusiveness Dialog Specialists will engage with a wide range of actors from the police to civil society to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develop and implement creative strategies to prevent and mitigate electoral/political violence.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8"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bidi w:val="0"/>
              <w:spacing w:before="0" w:after="160" w:line="259" w:lineRule="auto"/>
              <w:ind w:left="0" w:right="0" w:firstLine="0"/>
              <w:jc w:val="left"/>
            </w:pPr>
          </w:p>
        </w:tc>
      </w:tr>
      <w:tr>
        <w:trPr>
          <w:trHeight w:val="62" w:hRule="atLeast"/>
        </w:trPr>
        <w:tc>
          <w:tcPr>
            <w:tcW w:w="11519" w:type="dxa"/>
            <w:gridSpan w:val="3"/>
            <w:tcBorders>
              <w:top w:val="single" w:sz="10" w:color="000000"/>
              <w:left w:val="single" w:sz="10" w:color="000000"/>
              <w:bottom w:val="nil"/>
              <w:right w:val="single" w:sz="10" w:color="000000"/>
            </w:tcBorders>
            <w:vAlign w:val="top"/>
          </w:tcPr>
          <w:p>
            <w:pPr>
              <w:bidi w:val="0"/>
              <w:spacing w:before="0" w:after="160" w:line="259" w:lineRule="auto"/>
              <w:ind w:left="0" w:right="0" w:firstLine="0"/>
              <w:jc w:val="left"/>
            </w:pPr>
          </w:p>
        </w:tc>
      </w:tr>
    </w:tbl>
    <w:p>
      <w:pPr>
        <w:spacing w:before="0" w:after="0" w:line="259" w:lineRule="auto"/>
        <w:ind w:left="-1440" w:right="1719" w:firstLine="0"/>
        <w:jc w:val="left"/>
      </w:pPr>
    </w:p>
    <w:tbl>
      <w:tblPr>
        <w:tblStyle w:val="TableGrid"/>
        <w:tblW w:w="11519" w:type="dxa"/>
        <w:tblInd w:w="718" w:type="dxa"/>
        <w:tblCellMar>
          <w:top w:w="0" w:type="dxa"/>
          <w:left w:w="29" w:type="dxa"/>
          <w:bottom w:w="0" w:type="dxa"/>
          <w:right w:w="11" w:type="dxa"/>
        </w:tblCellMar>
      </w:tblPr>
      <w:tblGrid>
        <w:gridCol w:w="2477"/>
        <w:gridCol w:w="1627"/>
        <w:gridCol w:w="7415"/>
      </w:tblGrid>
      <w:tr>
        <w:trPr>
          <w:trHeight w:val="368" w:hRule="atLeast"/>
        </w:trPr>
        <w:tc>
          <w:tcPr>
            <w:tcW w:w="2477" w:type="dxa"/>
            <w:tcBorders>
              <w:top w:val="single" w:sz="10" w:color="000000"/>
              <w:left w:val="single" w:sz="10" w:color="000000"/>
              <w:bottom w:val="single" w:sz="10" w:color="000000"/>
              <w:right w:val="single" w:sz="10" w:color="000000"/>
            </w:tcBorders>
            <w:shd w:val="clear" w:fill="8db4e3"/>
            <w:vAlign w:val="center"/>
          </w:tcPr>
          <w:p>
            <w:pPr>
              <w:spacing w:before="0" w:after="0" w:line="259" w:lineRule="auto"/>
              <w:ind w:left="0" w:right="0" w:firstLine="0"/>
              <w:jc w:val="left"/>
            </w:pPr>
            <w:r>
              <w:rPr>
                <w:rFonts w:cs="Calibri" w:hAnsi="Calibri" w:eastAsia="Calibri" w:ascii="Calibri"/>
                <w:b w:val="1"/>
                <w:sz w:val="14"/>
              </w:rPr>
              <w:t xml:space="preserve">RISKS</w:t>
            </w:r>
          </w:p>
        </w:tc>
        <w:tc>
          <w:tcPr>
            <w:tcW w:w="1627" w:type="dxa"/>
            <w:tcBorders>
              <w:top w:val="single" w:sz="10" w:color="000000"/>
              <w:left w:val="single" w:sz="10" w:color="000000"/>
              <w:bottom w:val="single" w:sz="10" w:color="000000"/>
              <w:right w:val="single" w:sz="10" w:color="000000"/>
            </w:tcBorders>
            <w:shd w:val="clear" w:fill="8db4e3"/>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shd w:val="clear" w:fill="8db4e3"/>
            <w:vAlign w:val="center"/>
          </w:tcPr>
          <w:p>
            <w:pPr>
              <w:spacing w:before="0" w:after="0" w:line="259" w:lineRule="auto"/>
              <w:ind w:left="0" w:right="0" w:firstLine="0"/>
              <w:jc w:val="left"/>
            </w:pPr>
            <w:r>
              <w:rPr>
                <w:rFonts w:cs="Calibri" w:hAnsi="Calibri" w:eastAsia="Calibri" w:ascii="Calibri"/>
                <w:b w:val="1"/>
                <w:sz w:val="14"/>
              </w:rPr>
              <w:t xml:space="preserve">RISK MANAGEMENT MEASURES</w:t>
            </w:r>
          </w:p>
        </w:tc>
      </w:tr>
      <w:tr>
        <w:trPr>
          <w:trHeight w:val="370" w:hRule="atLeast"/>
        </w:trPr>
        <w:tc>
          <w:tcPr>
            <w:tcW w:w="11519" w:type="dxa"/>
            <w:gridSpan w:val="3"/>
            <w:tcBorders>
              <w:top w:val="single" w:sz="10" w:color="000000"/>
              <w:left w:val="single" w:sz="10" w:color="000000"/>
              <w:bottom w:val="single" w:sz="10" w:color="000000"/>
              <w:right w:val="single" w:sz="10" w:color="000000"/>
            </w:tcBorders>
            <w:shd w:val="clear" w:fill="c6d9f1"/>
            <w:vAlign w:val="center"/>
          </w:tcPr>
          <w:p>
            <w:pPr>
              <w:spacing w:before="0" w:after="0" w:line="259" w:lineRule="auto"/>
              <w:ind w:left="302" w:right="0" w:firstLine="0"/>
              <w:jc w:val="left"/>
            </w:pPr>
            <w:r>
              <w:rPr>
                <w:rFonts w:cs="Calibri" w:hAnsi="Calibri" w:eastAsia="Calibri" w:ascii="Calibri"/>
                <w:b w:val="1"/>
                <w:sz w:val="14"/>
              </w:rPr>
              <w:t xml:space="preserve">C.     Project Management, Operational and Technical Risks: </w:t>
            </w:r>
          </w:p>
        </w:tc>
      </w:tr>
      <w:tr>
        <w:trPr>
          <w:trHeight w:val="182" w:hRule="atLeast"/>
        </w:trPr>
        <w:tc>
          <w:tcPr>
            <w:tcW w:w="247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0" w:right="12" w:firstLine="0"/>
              <w:jc w:val="center"/>
            </w:pPr>
            <w:r>
              <w:rPr>
                <w:sz w:val="14"/>
              </w:rPr>
              <w:t xml:space="preserve">1.</w:t>
            </w:r>
            <w:r>
              <w:rPr>
                <w:sz w:val="14"/>
              </w:rPr>
              <w:t xml:space="preserve">      Failure to Apply Lessons Learned: </w:t>
            </w:r>
          </w:p>
          <w:p>
            <w:pPr>
              <w:spacing w:before="0" w:after="0" w:line="259" w:lineRule="auto"/>
              <w:ind w:left="65" w:right="0" w:firstLine="0"/>
              <w:jc w:val="left"/>
            </w:pPr>
            <w:r>
              <w:rPr>
                <w:sz w:val="14"/>
              </w:rPr>
              <w:t xml:space="preserve">Project management lessons arising from </w:t>
            </w:r>
          </w:p>
          <w:p>
            <w:pPr>
              <w:spacing w:before="0" w:after="0" w:line="259" w:lineRule="auto"/>
              <w:ind w:left="0" w:right="0" w:firstLine="0"/>
              <w:jc w:val="center"/>
            </w:pPr>
            <w:r>
              <w:rPr>
                <w:sz w:val="14"/>
              </w:rPr>
              <w:t xml:space="preserve">DDTP and ESP experiences are not incorporated into DEP design and implementation strategies.</w:t>
            </w:r>
          </w:p>
        </w:tc>
        <w:tc>
          <w:tcPr>
            <w:tcW w:w="162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single" w:sz="10" w:color="000000"/>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Implementation of electoral cycle model targeting human and institutional capacity building  via direct implementation modality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(DIM) and with direct involvement of UNDP management come directly from lessons learned in past electoral assistance projects in </w:t>
            </w:r>
          </w:p>
        </w:tc>
      </w:tr>
      <w:tr>
        <w:trPr>
          <w:trHeight w:val="19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9" w:color="ffc000"/>
              <w:right w:val="single" w:sz="10" w:color="000000"/>
            </w:tcBorders>
            <w:shd w:val="clear" w:fill="ffc000"/>
            <w:vAlign w:val="top"/>
          </w:tcPr>
          <w:p>
            <w:pPr>
              <w:spacing w:before="0" w:after="0" w:line="259" w:lineRule="auto"/>
              <w:ind w:left="0" w:right="0" w:firstLine="0"/>
              <w:jc w:val="left"/>
            </w:pPr>
            <w:r>
              <w:rPr>
                <w:sz w:val="14"/>
              </w:rPr>
              <w:t xml:space="preserve">Tanzania and are the foundation of DEP.</w:t>
            </w:r>
          </w:p>
        </w:tc>
      </w:tr>
      <w:tr>
        <w:trPr>
          <w:trHeight w:val="8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19"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However, the late start of actual project operations  (vis-à-vis the referendum) means that capacity building will necessarily be </w:t>
            </w:r>
          </w:p>
        </w:tc>
      </w:tr>
      <w:tr>
        <w:trPr>
          <w:trHeight w:val="20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22" w:color="ffc000"/>
              <w:right w:val="single" w:sz="10" w:color="000000"/>
            </w:tcBorders>
            <w:shd w:val="clear" w:fill="ffc000"/>
            <w:vAlign w:val="top"/>
          </w:tcPr>
          <w:p>
            <w:pPr>
              <w:spacing w:before="0" w:after="0" w:line="259" w:lineRule="auto"/>
              <w:ind w:left="0" w:right="0" w:firstLine="0"/>
              <w:jc w:val="left"/>
            </w:pPr>
            <w:r>
              <w:rPr>
                <w:sz w:val="14"/>
              </w:rPr>
              <w:t xml:space="preserve">adapted to the electoral calendar and will work around electoral events.</w:t>
            </w:r>
          </w:p>
        </w:tc>
      </w:tr>
      <w:tr>
        <w:trPr>
          <w:trHeight w:val="9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22"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Clarity of communications, especially in regards to beneficiary partner expectations area critical.  DEP management will develop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clear, concise and consistent approach to communications with all beneficiary partners.</w:t>
            </w:r>
          </w:p>
        </w:tc>
      </w:tr>
      <w:tr>
        <w:trPr>
          <w:trHeight w:val="281"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double" w:sz="10" w:color="000000"/>
              <w:right w:val="single" w:sz="10" w:color="000000"/>
            </w:tcBorders>
            <w:shd w:val="clear" w:fill="ffc000"/>
            <w:vAlign w:val="top"/>
          </w:tcPr>
          <w:p>
            <w:pPr>
              <w:bidi w:val="0"/>
              <w:spacing w:before="0" w:after="160" w:line="259" w:lineRule="auto"/>
              <w:ind w:left="0" w:right="0" w:firstLine="0"/>
              <w:jc w:val="left"/>
            </w:pPr>
          </w:p>
        </w:tc>
      </w:tr>
      <w:tr>
        <w:trPr>
          <w:trHeight w:val="211" w:hRule="atLeast"/>
        </w:trPr>
        <w:tc>
          <w:tcPr>
            <w:tcW w:w="2477" w:type="dxa"/>
            <w:vMerge w:val="restart"/>
            <w:tcBorders>
              <w:top w:val="double" w:sz="10" w:color="000000"/>
              <w:left w:val="single" w:sz="10" w:color="000000"/>
              <w:bottom w:val="double" w:sz="10" w:color="000000"/>
              <w:right w:val="single" w:sz="10" w:color="000000"/>
            </w:tcBorders>
            <w:vAlign w:val="center"/>
          </w:tcPr>
          <w:p>
            <w:pPr>
              <w:spacing w:before="0" w:after="0" w:line="259" w:lineRule="auto"/>
              <w:ind w:left="0" w:right="55" w:firstLine="0"/>
            </w:pPr>
            <w:r>
              <w:rPr>
                <w:sz w:val="14"/>
              </w:rPr>
              <w:t xml:space="preserve">2.  Implementation of BVR:  Rushed implementation of this new system results in serious technical and operational problems with voter registration which call into question the credibility of the list of voters.</w:t>
            </w:r>
          </w:p>
        </w:tc>
        <w:tc>
          <w:tcPr>
            <w:tcW w:w="1627" w:type="dxa"/>
            <w:vMerge w:val="restart"/>
            <w:tcBorders>
              <w:top w:val="double" w:sz="10" w:color="000000"/>
              <w:left w:val="single" w:sz="10" w:color="000000"/>
              <w:bottom w:val="doub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implementation of new and highly complex technical solutions for voter registration are fraught with problems.  Proper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planning which allows time for needed testing, training and verification of such systems is essential. </w:t>
            </w:r>
          </w:p>
        </w:tc>
      </w:tr>
      <w:tr>
        <w:trPr>
          <w:trHeight w:val="20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0" w:color="ffff00"/>
              <w:right w:val="single" w:sz="10" w:color="000000"/>
            </w:tcBorders>
            <w:shd w:val="clear" w:fill="ffff00"/>
            <w:vAlign w:val="top"/>
          </w:tcPr>
          <w:p>
            <w:pPr>
              <w:bidi w:val="0"/>
              <w:spacing w:before="0" w:after="160" w:line="259" w:lineRule="auto"/>
              <w:ind w:left="0" w:right="0" w:firstLine="0"/>
              <w:jc w:val="left"/>
            </w:pPr>
          </w:p>
        </w:tc>
      </w:tr>
      <w:tr>
        <w:trPr>
          <w:trHeight w:val="10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0"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Collaborations between EMBs and national ID card agencies under similar circumstances have not been particularly successful (Haiti,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Afghanistan, etc.) in delivering on voter registration due to the fixed and typically short time-frames for implementation. </w:t>
            </w:r>
            <w:r>
              <w:rPr>
                <w:rFonts w:cs="Calibri" w:hAnsi="Calibri" w:eastAsia="Calibri" w:ascii="Calibri"/>
                <w:i w:val="1"/>
                <w:sz w:val="14"/>
              </w:rPr>
              <w:t xml:space="preserve">"In many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cases where joint voter registration processes had failed, governments and election management bodies had rushed to combine civil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and voter registration in the heat of an election.  Suddenly donors and governments realized that it was too expensive to conduct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nation wide voter registration especially where previous registration had not generated an accurate register.  Civil registry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authorities rushed to use the opportunity to achieve what was difficult before:  getting funding for a civil registry." </w:t>
            </w:r>
            <w:r>
              <w:rPr>
                <w:rFonts w:cs="Calibri" w:hAnsi="Calibri" w:eastAsia="Calibri" w:ascii="Calibri"/>
                <w:i w:val="1"/>
                <w:sz w:val="14"/>
              </w:rPr>
              <w:t xml:space="preserve">*</w:t>
            </w:r>
          </w:p>
        </w:tc>
      </w:tr>
      <w:tr>
        <w:trPr>
          <w:trHeight w:val="22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40" w:color="ffff00"/>
              <w:right w:val="single" w:sz="10" w:color="000000"/>
            </w:tcBorders>
            <w:shd w:val="clear" w:fill="ffff00"/>
            <w:vAlign w:val="top"/>
          </w:tcPr>
          <w:p>
            <w:pPr>
              <w:bidi w:val="0"/>
              <w:spacing w:before="0" w:after="160" w:line="259" w:lineRule="auto"/>
              <w:ind w:left="0" w:right="0" w:firstLine="0"/>
              <w:jc w:val="left"/>
            </w:pPr>
          </w:p>
        </w:tc>
      </w:tr>
      <w:tr>
        <w:trPr>
          <w:trHeight w:val="25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40" w:color="ffff00"/>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0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A comprehensive assessment on the costings, timing and risks associated with the introduction of BVR has been prepared under </w:t>
            </w:r>
          </w:p>
        </w:tc>
      </w:tr>
      <w:tr>
        <w:trPr>
          <w:trHeight w:val="19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The report will be tabled at the PSC to advise on timely, effective and efficient solutions for the NEC to implement voter </w:t>
            </w:r>
          </w:p>
        </w:tc>
      </w:tr>
      <w:tr>
        <w:trPr>
          <w:trHeight w:val="19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registration for the referendum and elections. DEP will work to support BVR through targeted technical assistance focused on the </w:t>
            </w:r>
          </w:p>
        </w:tc>
      </w:tr>
      <w:tr>
        <w:trPr>
          <w:trHeight w:val="73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5" w:color="ffc000"/>
              <w:right w:val="single" w:sz="10" w:color="000000"/>
            </w:tcBorders>
            <w:shd w:val="clear" w:fill="ffc000"/>
            <w:vAlign w:val="top"/>
          </w:tcPr>
          <w:p>
            <w:pPr>
              <w:spacing w:before="0" w:after="0" w:line="259" w:lineRule="auto"/>
              <w:ind w:left="0" w:right="0" w:firstLine="0"/>
              <w:jc w:val="left"/>
            </w:pPr>
            <w:r>
              <w:rPr>
                <w:sz w:val="14"/>
              </w:rPr>
              <w:t xml:space="preserve">achievement of the NEC's mandate to conduct voter registration.  Equipment and materials will not be provided, however managerial and technical expertise in systems development, integration, process design and management will be provided to support the NEC.</w:t>
            </w:r>
          </w:p>
        </w:tc>
      </w:tr>
      <w:tr>
        <w:trPr>
          <w:trHeight w:val="702"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single" w:sz="5" w:color="ffc000"/>
              <w:left w:val="single" w:sz="10" w:color="000000"/>
              <w:bottom w:val="double" w:sz="10" w:color="000000"/>
              <w:right w:val="single" w:sz="10" w:color="000000"/>
            </w:tcBorders>
            <w:shd w:val="clear" w:fill="ffc000"/>
            <w:vAlign w:val="top"/>
          </w:tcPr>
          <w:p>
            <w:pPr>
              <w:spacing w:before="0" w:after="0" w:line="259" w:lineRule="auto"/>
              <w:ind w:left="0" w:right="0" w:firstLine="0"/>
              <w:jc w:val="left"/>
            </w:pPr>
            <w:r>
              <w:rPr>
                <w:sz w:val="14"/>
              </w:rPr>
              <w:t xml:space="preserve">The decision to not fund the acquisition of equipment should not extend to a reluctance to provide technical support for the successful implementation of this system as all other investments in DEP are dependent on credible, inclusive voter registration.</w:t>
            </w:r>
          </w:p>
        </w:tc>
      </w:tr>
      <w:tr>
        <w:trPr>
          <w:trHeight w:val="211" w:hRule="atLeast"/>
        </w:trPr>
        <w:tc>
          <w:tcPr>
            <w:tcW w:w="4105" w:type="dxa"/>
            <w:gridSpan w:val="2"/>
            <w:vMerge w:val="restart"/>
            <w:tcBorders>
              <w:top w:val="double" w:sz="10" w:color="000000"/>
              <w:left w:val="single" w:sz="10" w:color="000000"/>
              <w:bottom w:val="single" w:sz="10" w:color="000000"/>
              <w:right w:val="nil"/>
            </w:tcBorders>
            <w:vAlign w:val="top"/>
          </w:tcPr>
          <w:p>
            <w:pPr>
              <w:spacing w:before="0" w:after="0" w:line="259" w:lineRule="auto"/>
              <w:ind w:left="0" w:right="165" w:firstLine="0"/>
              <w:jc w:val="left"/>
            </w:pPr>
            <w:r>
              <w:rPr>
                <w:sz w:val="14"/>
              </w:rPr>
              <w:t xml:space="preserve">3. Low Voter Registration:  Conflict, violence and uncertainty due to the introduction of BVR disrupts planned public 	</w:t>
            </w:r>
            <w:r>
              <w:rPr>
                <w:rFonts w:cs="Calibri" w:hAnsi="Calibri" w:eastAsia="Calibri" w:ascii="Calibri"/>
                <w:b w:val="1"/>
                <w:i w:val="1"/>
                <w:sz w:val="21"/>
                <w:vertAlign w:val="superscript"/>
              </w:rPr>
              <w:t xml:space="preserve">HIGH RISK/MODERATE </w:t>
            </w:r>
            <w:r>
              <w:rPr>
                <w:sz w:val="14"/>
              </w:rPr>
              <w:t xml:space="preserve">outreach regarding voter registration 	</w:t>
            </w:r>
            <w:r>
              <w:rPr>
                <w:rFonts w:cs="Calibri" w:hAnsi="Calibri" w:eastAsia="Calibri" w:ascii="Calibri"/>
                <w:b w:val="1"/>
                <w:i w:val="1"/>
                <w:sz w:val="21"/>
                <w:vertAlign w:val="superscript"/>
              </w:rPr>
              <w:t xml:space="preserve">PROBABILITY </w:t>
            </w:r>
            <w:r>
              <w:rPr>
                <w:sz w:val="14"/>
              </w:rPr>
              <w:t xml:space="preserve">resulting in low voter turn-out.</w:t>
            </w:r>
          </w:p>
        </w:tc>
        <w:tc>
          <w:tcPr>
            <w:tcW w:w="7415" w:type="dxa"/>
            <w:tcBorders>
              <w:top w:val="double" w:sz="10" w:color="000000"/>
              <w:left w:val="nil"/>
              <w:bottom w:val="nil"/>
              <w:right w:val="single" w:sz="10" w:color="000000"/>
            </w:tcBorders>
            <w:shd w:val="clear" w:fill="ffc000"/>
            <w:vAlign w:val="top"/>
          </w:tcPr>
          <w:p>
            <w:pPr>
              <w:spacing w:before="0" w:after="0" w:line="259" w:lineRule="auto"/>
              <w:ind w:left="0" w:right="0" w:firstLine="0"/>
            </w:pPr>
            <w:r>
              <w:rPr>
                <w:sz w:val="14"/>
              </w:rPr>
              <w:t xml:space="preserve">Tanzania has a history of low voter participation.  Since participation starts with voter registration, failure during registration will set </w:t>
            </w:r>
          </w:p>
        </w:tc>
      </w:tr>
      <w:tr>
        <w:trPr>
          <w:trHeight w:val="218" w:hRule="atLeast"/>
        </w:trPr>
        <w:tc>
          <w:tcPr>
            <w:gridSpan w:val="2"/>
            <w:vMerge w:val="continue"/>
            <w:tcBorders>
              <w:top w:val="nil"/>
              <w:left w:val="single" w:sz="10" w:color="000000"/>
              <w:bottom w:val="nil"/>
              <w:right w:val="nil"/>
            </w:tcBorders>
            <w:vAlign w:val="top"/>
          </w:tcPr>
          <w:p>
            <w:pPr>
              <w:bidi w:val="0"/>
              <w:spacing w:before="0" w:after="160" w:line="259" w:lineRule="auto"/>
              <w:ind w:left="0" w:right="0" w:firstLine="0"/>
              <w:jc w:val="left"/>
            </w:pPr>
          </w:p>
        </w:tc>
        <w:tc>
          <w:tcPr>
            <w:tcW w:w="7415" w:type="dxa"/>
            <w:tcBorders>
              <w:top w:val="nil"/>
              <w:left w:val="nil"/>
              <w:bottom w:val="single" w:sz="30" w:color="ffc000"/>
              <w:right w:val="single" w:sz="10" w:color="000000"/>
            </w:tcBorders>
            <w:shd w:val="clear" w:fill="ffc000"/>
            <w:vAlign w:val="top"/>
          </w:tcPr>
          <w:p>
            <w:pPr>
              <w:spacing w:before="0" w:after="0" w:line="259" w:lineRule="auto"/>
              <w:ind w:left="0" w:right="0" w:firstLine="0"/>
              <w:jc w:val="left"/>
            </w:pPr>
            <w:r>
              <w:rPr>
                <w:sz w:val="14"/>
              </w:rPr>
              <w:t xml:space="preserve">a pattern for the referendum and subsequent elections.</w:t>
            </w:r>
          </w:p>
        </w:tc>
      </w:tr>
      <w:tr>
        <w:trPr>
          <w:trHeight w:val="108" w:hRule="atLeast"/>
        </w:trPr>
        <w:tc>
          <w:tcPr>
            <w:gridSpan w:val="2"/>
            <w:vMerge w:val="continue"/>
            <w:tcBorders>
              <w:top w:val="nil"/>
              <w:left w:val="single" w:sz="10" w:color="000000"/>
              <w:bottom w:val="nil"/>
              <w:right w:val="nil"/>
            </w:tcBorders>
            <w:vAlign w:val="top"/>
          </w:tcPr>
          <w:p>
            <w:pPr>
              <w:bidi w:val="0"/>
              <w:spacing w:before="0" w:after="160" w:line="259" w:lineRule="auto"/>
              <w:ind w:left="0" w:right="0" w:firstLine="0"/>
              <w:jc w:val="left"/>
            </w:pPr>
          </w:p>
        </w:tc>
        <w:tc>
          <w:tcPr>
            <w:tcW w:w="7415" w:type="dxa"/>
            <w:tcBorders>
              <w:top w:val="single" w:sz="30" w:color="ffc000"/>
              <w:left w:val="nil"/>
              <w:bottom w:val="nil"/>
              <w:right w:val="single" w:sz="10" w:color="000000"/>
            </w:tcBorders>
            <w:vAlign w:val="top"/>
          </w:tcPr>
          <w:p>
            <w:pPr>
              <w:bidi w:val="0"/>
              <w:spacing w:before="0" w:after="160" w:line="259" w:lineRule="auto"/>
              <w:ind w:left="0" w:right="0" w:firstLine="0"/>
              <w:jc w:val="left"/>
            </w:pPr>
          </w:p>
        </w:tc>
      </w:tr>
      <w:tr>
        <w:trPr>
          <w:trHeight w:val="509" w:hRule="atLeast"/>
        </w:trPr>
        <w:tc>
          <w:tcPr>
            <w:gridSpan w:val="2"/>
            <w:vMerge w:val="continue"/>
            <w:tcBorders>
              <w:top w:val="nil"/>
              <w:left w:val="single" w:sz="10" w:color="000000"/>
              <w:bottom w:val="single" w:sz="10" w:color="000000"/>
              <w:right w:val="nil"/>
            </w:tcBorders>
            <w:vAlign w:val="top"/>
          </w:tcPr>
          <w:p>
            <w:pPr>
              <w:bidi w:val="0"/>
              <w:spacing w:before="0" w:after="160" w:line="259" w:lineRule="auto"/>
              <w:ind w:left="0" w:right="0" w:firstLine="0"/>
              <w:jc w:val="left"/>
            </w:pPr>
          </w:p>
        </w:tc>
        <w:tc>
          <w:tcPr>
            <w:tcW w:w="7415" w:type="dxa"/>
            <w:tcBorders>
              <w:top w:val="nil"/>
              <w:left w:val="nil"/>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DEP will work with the NEC and ZEC on voter information and outreach strategies that encourage greater participation.  </w:t>
            </w:r>
          </w:p>
        </w:tc>
      </w:tr>
      <w:tr>
        <w:trPr>
          <w:trHeight w:val="207" w:hRule="atLeast"/>
        </w:trPr>
        <w:tc>
          <w:tcPr>
            <w:tcW w:w="2477" w:type="dxa"/>
            <w:vMerge w:val="restart"/>
            <w:tcBorders>
              <w:top w:val="single" w:sz="10" w:color="000000"/>
              <w:left w:val="single" w:sz="10" w:color="000000"/>
              <w:bottom w:val="nil"/>
              <w:right w:val="single" w:sz="10" w:color="000000"/>
            </w:tcBorders>
            <w:vAlign w:val="bottom"/>
          </w:tcPr>
          <w:p>
            <w:pPr>
              <w:spacing w:before="0" w:after="0" w:line="259" w:lineRule="auto"/>
              <w:ind w:left="0" w:right="0" w:firstLine="0"/>
              <w:jc w:val="left"/>
            </w:pPr>
            <w:r>
              <w:rPr>
                <w:sz w:val="14"/>
              </w:rPr>
              <w:t xml:space="preserve">4.</w:t>
            </w:r>
            <w:r>
              <w:rPr>
                <w:sz w:val="14"/>
              </w:rPr>
              <w:t xml:space="preserve">       Election Funding:  Based on their experience with DDTP and ESP, beneficiary partners may prefer to give priority to DEP acquisition of big ticket equipment procurement.</w:t>
            </w:r>
          </w:p>
        </w:tc>
        <w:tc>
          <w:tcPr>
            <w:tcW w:w="1627" w:type="dxa"/>
            <w:vMerge w:val="restart"/>
            <w:tcBorders>
              <w:top w:val="single" w:sz="10" w:color="000000"/>
              <w:left w:val="single" w:sz="10" w:color="000000"/>
              <w:bottom w:val="nil"/>
              <w:right w:val="single" w:sz="10" w:color="000000"/>
            </w:tcBorders>
            <w:vAlign w:val="bottom"/>
          </w:tcPr>
          <w:p>
            <w:pPr>
              <w:spacing w:before="0" w:after="0" w:line="259" w:lineRule="auto"/>
              <w:ind w:left="0" w:right="40" w:firstLine="0"/>
              <w:jc w:val="center"/>
            </w:pPr>
            <w:r>
              <w:rPr>
                <w:rFonts w:cs="Calibri" w:hAnsi="Calibri" w:eastAsia="Calibri" w:ascii="Calibri"/>
                <w:b w:val="1"/>
                <w:i w:val="1"/>
                <w:sz w:val="14"/>
              </w:rPr>
              <w:t xml:space="preserve">MODERATE </w:t>
            </w:r>
          </w:p>
          <w:p>
            <w:pPr>
              <w:spacing w:before="0" w:after="0" w:line="259" w:lineRule="auto"/>
              <w:ind w:left="0" w:right="40" w:firstLine="0"/>
              <w:jc w:val="center"/>
            </w:pPr>
            <w:r>
              <w:rPr>
                <w:rFonts w:cs="Calibri" w:hAnsi="Calibri" w:eastAsia="Calibri" w:ascii="Calibri"/>
                <w:b w:val="1"/>
                <w:i w:val="1"/>
                <w:sz w:val="14"/>
              </w:rPr>
              <w:t xml:space="preserve">RISK/MODERATE </w:t>
            </w:r>
          </w:p>
          <w:p>
            <w:pPr>
              <w:spacing w:before="0" w:after="0" w:line="259" w:lineRule="auto"/>
              <w:ind w:left="0" w:right="40" w:firstLine="0"/>
              <w:jc w:val="center"/>
            </w:pPr>
            <w:r>
              <w:rPr>
                <w:rFonts w:cs="Calibri" w:hAnsi="Calibri" w:eastAsia="Calibri" w:ascii="Calibri"/>
                <w:b w:val="1"/>
                <w:i w:val="1"/>
                <w:sz w:val="14"/>
              </w:rPr>
              <w:t xml:space="preserve">PROBABILITY</w:t>
            </w:r>
          </w:p>
        </w:tc>
        <w:tc>
          <w:tcPr>
            <w:tcW w:w="7415" w:type="dxa"/>
            <w:tcBorders>
              <w:top w:val="single" w:sz="10" w:color="000000"/>
              <w:left w:val="single" w:sz="10" w:color="000000"/>
              <w:bottom w:val="nil"/>
              <w:right w:val="single" w:sz="10" w:color="000000"/>
            </w:tcBorders>
            <w:shd w:val="clear" w:fill="ffc000"/>
            <w:vAlign w:val="top"/>
          </w:tcPr>
          <w:p>
            <w:pPr>
              <w:spacing w:before="0" w:after="0" w:line="259" w:lineRule="auto"/>
              <w:ind w:left="0" w:right="0" w:firstLine="0"/>
            </w:pPr>
            <w:r>
              <w:rPr>
                <w:sz w:val="14"/>
              </w:rPr>
              <w:t xml:space="preserve">Clarity on project goals and objectives, as well as on the structural and conceptual differences between DEP and predecessor project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will be a priority throughout implementation.  It is essential that beneficiary partners understand that DEP will not fund budget </w:t>
            </w:r>
          </w:p>
        </w:tc>
      </w:tr>
      <w:tr>
        <w:trPr>
          <w:trHeight w:val="24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6" w:color="ffc000"/>
              <w:right w:val="single" w:sz="10" w:color="000000"/>
            </w:tcBorders>
            <w:shd w:val="clear" w:fill="ffc000"/>
            <w:vAlign w:val="top"/>
          </w:tcPr>
          <w:p>
            <w:pPr>
              <w:spacing w:before="0" w:after="0" w:line="259" w:lineRule="auto"/>
              <w:ind w:left="0" w:right="0" w:firstLine="0"/>
              <w:jc w:val="left"/>
            </w:pPr>
            <w:r>
              <w:rPr>
                <w:sz w:val="14"/>
              </w:rPr>
              <w:t xml:space="preserve">shortfalls.</w:t>
            </w:r>
          </w:p>
        </w:tc>
      </w:tr>
      <w:tr>
        <w:trPr>
          <w:trHeight w:val="24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6" w:color="ffc000"/>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beneficiary partners -- especially EMBs-- to strengthen their ability to plan and budget more appropriately with </w:t>
            </w:r>
          </w:p>
        </w:tc>
      </w:tr>
      <w:tr>
        <w:trPr>
          <w:trHeight w:val="22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44" w:color="ffc000"/>
              <w:right w:val="single" w:sz="10" w:color="000000"/>
            </w:tcBorders>
            <w:shd w:val="clear" w:fill="ffc000"/>
            <w:vAlign w:val="top"/>
          </w:tcPr>
          <w:p>
            <w:pPr>
              <w:spacing w:before="0" w:after="0" w:line="259" w:lineRule="auto"/>
              <w:ind w:left="0" w:right="4" w:firstLine="0"/>
              <w:jc w:val="left"/>
            </w:pPr>
            <w:r>
              <w:rPr>
                <w:sz w:val="14"/>
              </w:rPr>
              <w:t xml:space="preserve">an eye on value for money.  PSC will support these efforts through interactions with the GOT to ensure proper and timely funding for electoral calendar events.</w:t>
            </w:r>
          </w:p>
        </w:tc>
      </w:tr>
      <w:tr>
        <w:trPr>
          <w:trHeight w:val="125"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44"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The Legislatures Support Project (LSP) will work with Parliament to assist them in better understanding electoral process from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budgetary and planning perspective.  DEP will provide support for more effective communications between the NEC and </w:t>
            </w:r>
          </w:p>
        </w:tc>
      </w:tr>
      <w:tr>
        <w:trPr>
          <w:trHeight w:val="2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Government and the NEC and Parliament regarding such questions.</w:t>
            </w:r>
          </w:p>
        </w:tc>
      </w:tr>
    </w:tbl>
    <w:p>
      <w:pPr>
        <w:sectPr>
          <w:headerReference w:type="even" r:id="rId65"/>
          <w:headerReference w:type="default" r:id="rId63"/>
          <w:headerReference w:type="first" r:id="rId61"/>
          <w:footerReference w:type="even" r:id="rId66"/>
          <w:footerReference w:type="default" r:id="rId64"/>
          <w:footerReference w:type="first" r:id="rId62"/>
          <w:pgSz w:w="16836" w:h="11904" w:orient="landscape"/>
          <w:pgMar w:header="462" w:footer="467" w:left="1440" w:top="1090" w:right="1440" w:bottom="924"/>
          <w:pgNumType w:start="1" w:fmt="decimal"/>
          <w:cols/>
        </w:sectPr>
      </w:pPr>
    </w:p>
    <w:tbl>
      <w:tblPr>
        <w:tblStyle w:val="TableGrid"/>
        <w:tblpPr w:horzAnchor="text" w:tblpX="718" w:vertAnchor="text" w:tblpY="-215"/>
        <w:tblOverlap w:val="never"/>
        <w:tblW w:w="11519" w:type="dxa"/>
        <w:tblInd w:w="0" w:type="dxa"/>
        <w:tblCellMar>
          <w:top w:w="0" w:type="dxa"/>
          <w:left w:w="29" w:type="dxa"/>
          <w:bottom w:w="0" w:type="dxa"/>
          <w:right w:w="0" w:type="dxa"/>
        </w:tblCellMar>
      </w:tblPr>
      <w:tblGrid>
        <w:gridCol w:w="2477"/>
        <w:gridCol w:w="1627"/>
        <w:gridCol w:w="7415"/>
      </w:tblGrid>
      <w:tr>
        <w:trPr>
          <w:trHeight w:val="359" w:hRule="atLeast"/>
        </w:trPr>
        <w:tc>
          <w:tcPr>
            <w:tcW w:w="2477" w:type="dxa"/>
            <w:tcBorders>
              <w:top w:val="single" w:sz="10" w:color="000000"/>
              <w:left w:val="single" w:sz="10" w:color="000000"/>
              <w:bottom w:val="single" w:sz="5" w:color="000000"/>
              <w:right w:val="single" w:sz="5"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RISKS</w:t>
            </w:r>
          </w:p>
        </w:tc>
        <w:tc>
          <w:tcPr>
            <w:tcW w:w="1627" w:type="dxa"/>
            <w:tcBorders>
              <w:top w:val="single" w:sz="10" w:color="000000"/>
              <w:left w:val="single" w:sz="5" w:color="000000"/>
              <w:bottom w:val="single" w:sz="5" w:color="000000"/>
              <w:right w:val="single" w:sz="5" w:color="000000"/>
            </w:tcBorders>
            <w:shd w:val="clear" w:fill="95b3d7"/>
            <w:vAlign w:val="top"/>
          </w:tcPr>
          <w:p>
            <w:pPr>
              <w:spacing w:before="0" w:after="0" w:line="259" w:lineRule="auto"/>
              <w:ind w:left="0" w:right="0" w:firstLine="0"/>
              <w:jc w:val="center"/>
            </w:pPr>
            <w:r>
              <w:rPr>
                <w:rFonts w:cs="Calibri" w:hAnsi="Calibri" w:eastAsia="Calibri" w:ascii="Calibri"/>
                <w:b w:val="1"/>
                <w:sz w:val="14"/>
              </w:rPr>
              <w:t xml:space="preserve">IMPACT LEVEL AND PROBABILITY</w:t>
            </w:r>
          </w:p>
        </w:tc>
        <w:tc>
          <w:tcPr>
            <w:tcW w:w="7415" w:type="dxa"/>
            <w:tcBorders>
              <w:top w:val="single" w:sz="10" w:color="000000"/>
              <w:left w:val="single" w:sz="5" w:color="000000"/>
              <w:bottom w:val="single" w:sz="5"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MANAGEMENT MEASURES </w:t>
            </w:r>
          </w:p>
        </w:tc>
      </w:tr>
      <w:tr>
        <w:trPr>
          <w:trHeight w:val="180" w:hRule="atLeast"/>
        </w:trPr>
        <w:tc>
          <w:tcPr>
            <w:tcW w:w="11519" w:type="dxa"/>
            <w:gridSpan w:val="3"/>
            <w:tcBorders>
              <w:top w:val="single" w:sz="5" w:color="000000"/>
              <w:left w:val="single" w:sz="10" w:color="000000"/>
              <w:bottom w:val="nil"/>
              <w:right w:val="single" w:sz="10" w:color="000000"/>
            </w:tcBorders>
            <w:shd w:val="clear" w:fill="dbe5f1"/>
            <w:vAlign w:val="top"/>
          </w:tcPr>
          <w:p>
            <w:pPr>
              <w:bidi w:val="0"/>
              <w:spacing w:before="0" w:after="160" w:line="259" w:lineRule="auto"/>
              <w:ind w:left="0" w:right="0" w:firstLine="0"/>
              <w:jc w:val="left"/>
            </w:pPr>
          </w:p>
        </w:tc>
      </w:tr>
      <w:tr>
        <w:trPr>
          <w:trHeight w:val="179" w:hRule="atLeast"/>
        </w:trPr>
        <w:tc>
          <w:tcPr>
            <w:tcW w:w="11519" w:type="dxa"/>
            <w:gridSpan w:val="3"/>
            <w:tcBorders>
              <w:top w:val="nil"/>
              <w:left w:val="single" w:sz="10" w:color="000000"/>
              <w:bottom w:val="single" w:sz="10" w:color="000000"/>
              <w:right w:val="single" w:sz="10" w:color="000000"/>
            </w:tcBorders>
            <w:shd w:val="clear" w:fill="dbe5f1"/>
            <w:vAlign w:val="top"/>
          </w:tcPr>
          <w:p>
            <w:pPr>
              <w:spacing w:before="0" w:after="0" w:line="259" w:lineRule="auto"/>
              <w:ind w:left="0" w:right="0" w:firstLine="0"/>
              <w:jc w:val="left"/>
            </w:pPr>
            <w:r>
              <w:rPr>
                <w:rFonts w:cs="Calibri" w:hAnsi="Calibri" w:eastAsia="Calibri" w:ascii="Calibri"/>
                <w:b w:val="1"/>
                <w:sz w:val="14"/>
              </w:rPr>
              <w:t xml:space="preserve"> A.      Macro-Level Constitutional and  Political Process Risks:  </w:t>
            </w:r>
          </w:p>
        </w:tc>
      </w:tr>
      <w:tr>
        <w:trPr>
          <w:trHeight w:val="255"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1.       Delays in the Constitutional reform process:  The on-going Constitution Review (RC) process does not adhere to the time lines, and a new draft Constitution is not completed in time for an April 2014 referendum.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center"/>
            </w:pPr>
            <w:r>
              <w:rPr>
                <w:rFonts w:cs="Calibri" w:hAnsi="Calibri" w:eastAsia="Calibri" w:ascii="Calibri"/>
                <w:b w:val="1"/>
                <w:sz w:val="14"/>
              </w:rPr>
              <w:t xml:space="preserve">HIGH IMPACT/MODERATE PROBABILITY</w:t>
            </w:r>
          </w:p>
        </w:tc>
        <w:tc>
          <w:tcPr>
            <w:tcW w:w="7415" w:type="dxa"/>
            <w:tcBorders>
              <w:top w:val="single" w:sz="10" w:color="000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1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UNRC will follow up with government actors at relevant levels on progress in the political process.</w:t>
            </w:r>
          </w:p>
        </w:tc>
      </w:tr>
      <w:tr>
        <w:trPr>
          <w:trHeight w:val="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3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Constant monitoring of the Constitutional Review process is required.  DEP will request regular updates on CR process from relevant PSC Members so as to take appropriate corrective measures when and where necessary. </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both EMBs on the development of contingency planning scenarios dealing with delays in various aspects of the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electoral calendar:  registration update; the referendum, voter registration update; and the general elections.  </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Project Action: Scenarios will look at staffing, cost and process management questions involved in coping with such delays.</w:t>
            </w:r>
          </w:p>
        </w:tc>
      </w:tr>
      <w:tr>
        <w:trPr>
          <w:trHeight w:val="214"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bidi w:val="0"/>
              <w:spacing w:before="0" w:after="160" w:line="259" w:lineRule="auto"/>
              <w:ind w:left="0" w:right="0" w:firstLine="0"/>
              <w:jc w:val="left"/>
            </w:pPr>
          </w:p>
        </w:tc>
      </w:tr>
      <w:tr>
        <w:trPr>
          <w:trHeight w:val="207"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61" w:lineRule="auto"/>
              <w:ind w:left="0" w:right="0" w:firstLine="0"/>
              <w:jc w:val="center"/>
            </w:pPr>
            <w:r>
              <w:rPr>
                <w:sz w:val="14"/>
              </w:rPr>
              <w:t xml:space="preserve">2.</w:t>
            </w:r>
            <w:r>
              <w:rPr>
                <w:rFonts w:cs="Times New Roman" w:hAnsi="Times New Roman" w:eastAsia="Times New Roman" w:ascii="Times New Roman"/>
                <w:sz w:val="9"/>
              </w:rPr>
              <w:t xml:space="preserve">      </w:t>
            </w:r>
            <w:r>
              <w:rPr>
                <w:sz w:val="14"/>
              </w:rPr>
              <w:t xml:space="preserve">Electoral Reform Stalls</w:t>
            </w:r>
            <w:r>
              <w:rPr>
                <w:rFonts w:cs="Times New Roman" w:hAnsi="Times New Roman" w:eastAsia="Times New Roman" w:ascii="Times New Roman"/>
                <w:sz w:val="9"/>
              </w:rPr>
              <w:t xml:space="preserve">: </w:t>
            </w:r>
            <w:r>
              <w:rPr>
                <w:sz w:val="14"/>
              </w:rPr>
              <w:t xml:space="preserve">Political will and ability to introduce expected broad </w:t>
            </w:r>
          </w:p>
          <w:p>
            <w:pPr>
              <w:spacing w:before="0" w:after="0" w:line="259" w:lineRule="auto"/>
              <w:ind w:left="24" w:right="0" w:firstLine="0"/>
            </w:pPr>
            <w:r>
              <w:rPr>
                <w:sz w:val="14"/>
              </w:rPr>
              <w:t xml:space="preserve">reforms to Election management structure </w:t>
            </w:r>
          </w:p>
          <w:p>
            <w:pPr>
              <w:spacing w:before="0" w:after="0" w:line="259" w:lineRule="auto"/>
              <w:ind w:left="0" w:right="0" w:firstLine="0"/>
              <w:jc w:val="center"/>
            </w:pPr>
            <w:r>
              <w:rPr>
                <w:sz w:val="14"/>
              </w:rPr>
              <w:t xml:space="preserve">and functions – specifically changes related to political and financial independence of the EMB.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401" w:right="0" w:hanging="276"/>
              <w:jc w:val="left"/>
            </w:pPr>
            <w:r>
              <w:rPr>
                <w:rFonts w:cs="Calibri" w:hAnsi="Calibri" w:eastAsia="Calibri" w:ascii="Calibri"/>
                <w:b w:val="1"/>
                <w:i w:val="1"/>
                <w:sz w:val="14"/>
              </w:rPr>
              <w:t xml:space="preserve">HIGH RISK/MODERATE PROBABILITY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27" w:firstLine="0"/>
              <w:jc w:val="center"/>
            </w:pPr>
            <w:r>
              <w:rPr>
                <w:sz w:val="14"/>
              </w:rPr>
              <w:t xml:space="preserve">The Constitutional reform process is expected to have a large impact on the legal and institutional framework for democratic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22" w:right="0" w:firstLine="0"/>
            </w:pPr>
            <w:r>
              <w:rPr>
                <w:sz w:val="14"/>
              </w:rPr>
              <w:t xml:space="preserve">institutions in Tanzania. This is mainly due to the fact that the CR process is essentially a political process galvanised by the apparent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7" w:firstLine="0"/>
              <w:jc w:val="center"/>
            </w:pPr>
            <w:r>
              <w:rPr>
                <w:sz w:val="14"/>
              </w:rPr>
              <w:t xml:space="preserve">ineptness of the current laws to provide for competitive politics. The UN system in Tanzania are keeping abreast of these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2" w:right="0" w:firstLine="0"/>
            </w:pPr>
            <w:r>
              <w:rPr>
                <w:sz w:val="14"/>
              </w:rPr>
              <w:t xml:space="preserve">developments and discussions are held between the RC and relevant national stakeholders. The PSC members through the friends of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5" w:firstLine="0"/>
              <w:jc w:val="center"/>
            </w:pPr>
            <w:r>
              <w:rPr>
                <w:sz w:val="14"/>
              </w:rPr>
              <w:t xml:space="preserve">2015 group are also encouraged to do the same at the relevant level. </w:t>
            </w:r>
          </w:p>
        </w:tc>
      </w:tr>
      <w:tr>
        <w:trPr>
          <w:trHeight w:val="20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6" w:color="ffff00"/>
              <w:right w:val="single" w:sz="10" w:color="000000"/>
            </w:tcBorders>
            <w:shd w:val="clear" w:fill="ffff00"/>
            <w:vAlign w:val="top"/>
          </w:tcPr>
          <w:p>
            <w:pPr>
              <w:bidi w:val="0"/>
              <w:spacing w:before="0" w:after="160" w:line="259" w:lineRule="auto"/>
              <w:ind w:left="0" w:right="0" w:firstLine="0"/>
              <w:jc w:val="left"/>
            </w:pPr>
          </w:p>
        </w:tc>
      </w:tr>
      <w:tr>
        <w:trPr>
          <w:trHeight w:val="15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6"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66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2" w:firstLine="0"/>
              <w:jc w:val="left"/>
            </w:pPr>
            <w:r>
              <w:rPr>
                <w:rFonts w:cs="Calibri" w:hAnsi="Calibri" w:eastAsia="Calibri" w:ascii="Calibri"/>
                <w:i w:val="1"/>
                <w:sz w:val="14"/>
              </w:rPr>
              <w:t xml:space="preserve">More substantial public opinion research including focus groups than is currently envisioned in DEP should be undertaken outside of DEP.  Understanding the ebb and flow of public opinion will be useful in managing risks for DEP and will be useful for GOT and political stakeholders.  It can also be useful in dealing with conflict management issues.</w:t>
            </w:r>
          </w:p>
        </w:tc>
      </w:tr>
      <w:tr>
        <w:trPr>
          <w:trHeight w:val="8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344"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Public opinion polls and pervasive speech monitoring could be introduced as a tolerance level barometer. </w:t>
            </w:r>
          </w:p>
        </w:tc>
      </w:tr>
      <w:tr>
        <w:trPr>
          <w:trHeight w:val="98" w:hRule="atLeast"/>
        </w:trPr>
        <w:tc>
          <w:tcPr>
            <w:tcW w:w="247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181"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3.</w:t>
            </w:r>
            <w:r>
              <w:rPr>
                <w:rFonts w:cs="Times New Roman" w:hAnsi="Times New Roman" w:eastAsia="Times New Roman" w:ascii="Times New Roman"/>
                <w:sz w:val="9"/>
              </w:rPr>
              <w:t xml:space="preserve"> </w:t>
            </w:r>
            <w:r>
              <w:rPr>
                <w:sz w:val="14"/>
              </w:rPr>
              <w:t xml:space="preserve">     Massive Reform: The CR process introduces sweeping change in the legal framework of Tanzania’s political process, including elections and political parties.</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374" w:right="0" w:hanging="348"/>
              <w:jc w:val="left"/>
            </w:pPr>
            <w:r>
              <w:rPr>
                <w:rFonts w:cs="Calibri" w:hAnsi="Calibri" w:eastAsia="Calibri" w:ascii="Calibri"/>
                <w:b w:val="1"/>
                <w:i w:val="1"/>
                <w:sz w:val="14"/>
              </w:rPr>
              <w:t xml:space="preserve">HIGH IMPACT/MODERATE PROBABLILITY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NEC must engage closely with the CR process in order to ensure that mechanisms are in place to deliver the general elections during </w:t>
            </w:r>
          </w:p>
        </w:tc>
      </w:tr>
      <w:tr>
        <w:trPr>
          <w:trHeight w:val="22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9" w:color="ffff00"/>
              <w:right w:val="single" w:sz="10" w:color="000000"/>
            </w:tcBorders>
            <w:shd w:val="clear" w:fill="ffff00"/>
            <w:vAlign w:val="top"/>
          </w:tcPr>
          <w:p>
            <w:pPr>
              <w:spacing w:before="0" w:after="0" w:line="259" w:lineRule="auto"/>
              <w:ind w:left="0" w:right="0" w:firstLine="0"/>
              <w:jc w:val="left"/>
            </w:pPr>
            <w:r>
              <w:rPr>
                <w:sz w:val="14"/>
              </w:rPr>
              <w:t xml:space="preserve">a period of electoral reform.</w:t>
            </w:r>
          </w:p>
        </w:tc>
      </w:tr>
      <w:tr>
        <w:trPr>
          <w:trHeight w:val="10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9"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7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 Such mechanisms are typically enshrined in “transitional provisions” of a new Constitution which put forth a timetable for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implementing changes.  It seems likely that the 2015 general elections will be conducted under the provisions of a new Constitution, </w:t>
            </w:r>
          </w:p>
        </w:tc>
      </w:tr>
      <w:tr>
        <w:trPr>
          <w:trHeight w:val="25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should the referendum pass.</w:t>
            </w:r>
          </w:p>
        </w:tc>
      </w:tr>
      <w:tr>
        <w:trPr>
          <w:trHeight w:val="21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PSC will keep a close eye on the process and engage with the GOT and other stakeholders to ensure that both sufficient time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and funding are made available to support the work of the EMBs.</w:t>
            </w:r>
          </w:p>
        </w:tc>
      </w:tr>
      <w:tr>
        <w:trPr>
          <w:trHeight w:val="37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7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42"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The project will provide the EMBs with legal expertise to demystify and operationalise the new legal framework.</w:t>
            </w:r>
          </w:p>
        </w:tc>
      </w:tr>
    </w:tbl>
    <w:tbl>
      <w:tblPr>
        <w:tblStyle w:val="TableGrid"/>
        <w:tblpPr w:horzAnchor="text" w:tblpX="12288" w:vertAnchor="text" w:tblpY="143"/>
        <w:tblOverlap w:val="never"/>
        <w:tblW w:w="1121" w:type="dxa"/>
        <w:tblInd w:w="0" w:type="dxa"/>
        <w:tblCellMar>
          <w:top w:w="23" w:type="dxa"/>
          <w:left w:w="29" w:type="dxa"/>
          <w:bottom w:w="0" w:type="dxa"/>
          <w:right w:w="115" w:type="dxa"/>
        </w:tblCellMar>
      </w:tblPr>
      <w:tblGrid>
        <w:gridCol w:w="1121"/>
      </w:tblGrid>
      <w:tr>
        <w:trPr>
          <w:trHeight w:val="181" w:hRule="atLeast"/>
        </w:trPr>
        <w:tc>
          <w:tcPr>
            <w:tcW w:w="1121" w:type="dxa"/>
            <w:tcBorders>
              <w:top w:val="nil"/>
              <w:left w:val="nil"/>
              <w:bottom w:val="nil"/>
              <w:right w:val="nil"/>
            </w:tcBorders>
            <w:shd w:val="clear" w:fill="ffff00"/>
            <w:vAlign w:val="top"/>
          </w:tcPr>
          <w:p>
            <w:pPr>
              <w:spacing w:before="0" w:after="0" w:line="259" w:lineRule="auto"/>
              <w:ind w:left="0" w:right="0" w:firstLine="0"/>
              <w:jc w:val="left"/>
            </w:pPr>
            <w:r>
              <w:rPr>
                <w:sz w:val="14"/>
              </w:rPr>
              <w:t xml:space="preserve">Political action</w:t>
            </w:r>
          </w:p>
        </w:tc>
      </w:tr>
      <w:tr>
        <w:trPr>
          <w:trHeight w:val="181" w:hRule="atLeast"/>
        </w:trPr>
        <w:tc>
          <w:tcPr>
            <w:tcW w:w="1121" w:type="dxa"/>
            <w:tcBorders>
              <w:top w:val="nil"/>
              <w:left w:val="nil"/>
              <w:bottom w:val="nil"/>
              <w:right w:val="nil"/>
            </w:tcBorders>
            <w:shd w:val="clear" w:fill="ffc000"/>
            <w:vAlign w:val="top"/>
          </w:tcPr>
          <w:p>
            <w:pPr>
              <w:spacing w:before="0" w:after="0" w:line="259" w:lineRule="auto"/>
              <w:ind w:left="0" w:right="0" w:firstLine="0"/>
              <w:jc w:val="left"/>
            </w:pPr>
            <w:r>
              <w:rPr>
                <w:sz w:val="14"/>
              </w:rPr>
              <w:t xml:space="preserve">Project action</w:t>
            </w:r>
          </w:p>
        </w:tc>
      </w:tr>
    </w:tbl>
    <w:p>
      <w:pPr>
        <w:spacing w:before="0" w:after="3" w:line="259" w:lineRule="auto"/>
        <w:ind w:left="728" w:right="0"/>
        <w:jc w:val="left"/>
      </w:pPr>
      <w:r>
        <w:rPr>
          <w:rFonts w:cs="Calibri" w:hAnsi="Calibri" w:eastAsia="Calibri" w:ascii="Calibri"/>
          <w:b w:val="1"/>
          <w:sz w:val="14"/>
        </w:rPr>
        <w:t xml:space="preserve">COLOUR KEY</w:t>
      </w:r>
      <w:r>
        <w:br w:type="page"/>
      </w:r>
    </w:p>
    <w:p>
      <w:pPr>
        <w:spacing w:before="0" w:after="0" w:line="259" w:lineRule="auto"/>
        <w:ind w:left="-1440" w:right="1719" w:firstLine="0"/>
        <w:jc w:val="left"/>
      </w:pPr>
    </w:p>
    <w:tbl>
      <w:tblPr>
        <w:tblStyle w:val="TableGrid"/>
        <w:tblW w:w="11519" w:type="dxa"/>
        <w:tblInd w:w="718" w:type="dxa"/>
        <w:tblCellMar>
          <w:top w:w="39" w:type="dxa"/>
          <w:left w:w="29" w:type="dxa"/>
          <w:bottom w:w="0" w:type="dxa"/>
          <w:right w:w="12" w:type="dxa"/>
        </w:tblCellMar>
      </w:tblPr>
      <w:tblGrid>
        <w:gridCol w:w="2477"/>
        <w:gridCol w:w="1627"/>
        <w:gridCol w:w="7415"/>
      </w:tblGrid>
      <w:tr>
        <w:trPr>
          <w:trHeight w:val="108" w:hRule="atLeast"/>
        </w:trPr>
        <w:tc>
          <w:tcPr>
            <w:tcW w:w="2477"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713" w:hRule="atLeast"/>
        </w:trPr>
        <w:tc>
          <w:tcPr>
            <w:tcW w:w="247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0" w:right="0" w:firstLine="0"/>
              <w:jc w:val="left"/>
            </w:pPr>
            <w:r>
              <w:rPr>
                <w:sz w:val="14"/>
              </w:rPr>
              <w:t xml:space="preserve">4.</w:t>
            </w:r>
            <w:r>
              <w:rPr>
                <w:sz w:val="14"/>
              </w:rPr>
              <w:t xml:space="preserve">   The referendum on a new Constitution fails.</w:t>
            </w:r>
          </w:p>
        </w:tc>
        <w:tc>
          <w:tcPr>
            <w:tcW w:w="162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401" w:right="0" w:hanging="276"/>
              <w:jc w:val="left"/>
            </w:pPr>
            <w:r>
              <w:rPr>
                <w:rFonts w:cs="Calibri" w:hAnsi="Calibri" w:eastAsia="Calibri" w:ascii="Calibri"/>
                <w:b w:val="1"/>
                <w:i w:val="1"/>
                <w:sz w:val="14"/>
              </w:rPr>
              <w:t xml:space="preserve">HIGH RISK/MODERATE PROBABILITY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13" w:firstLine="0"/>
              <w:jc w:val="left"/>
            </w:pPr>
            <w:r>
              <w:rPr>
                <w:sz w:val="14"/>
              </w:rPr>
              <w:t xml:space="preserve">DEP PSC and the UNRC will take the lead in encouraging dialogue among national stakeholders on the possibility of this outcome and to find a way to resolve impasses that are likely to arise out of a rejection of the new Constitution by any part of the Union. </w:t>
            </w:r>
          </w:p>
        </w:tc>
      </w:tr>
      <w:tr>
        <w:trPr>
          <w:trHeight w:val="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55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RECOMMENDATION:   A” Friend’s of 2015” committee  at the Heads of Mission level as soon as possible to begin discussing and developing a common strategy to move forward.</w:t>
            </w:r>
          </w:p>
        </w:tc>
      </w:tr>
      <w:tr>
        <w:trPr>
          <w:trHeight w:val="7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40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both EMBs to develop contingency plans to deal with a range of proposed modifications in their mandates and electoral calendars.  </w:t>
            </w:r>
          </w:p>
        </w:tc>
      </w:tr>
      <w:tr>
        <w:trPr>
          <w:trHeight w:val="1165"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double" w:sz="10" w:color="000000"/>
              <w:right w:val="single" w:sz="10" w:color="000000"/>
            </w:tcBorders>
            <w:shd w:val="clear" w:fill="ffc000"/>
            <w:vAlign w:val="top"/>
          </w:tcPr>
          <w:p>
            <w:pPr>
              <w:spacing w:before="0" w:after="0" w:line="259" w:lineRule="auto"/>
              <w:ind w:left="0" w:right="0" w:firstLine="0"/>
              <w:jc w:val="left"/>
            </w:pPr>
            <w:r>
              <w:rPr>
                <w:sz w:val="14"/>
              </w:rPr>
              <w:t xml:space="preserve">Actual electoral operations will only be adjusted when there is new legislation in place. NOTE: Current planning by both EMBs is to implement electoral calendars and operations under current legislation which means they are planning for the 2015 elections – and voter registration updates -- as if there is no new Constitution. </w:t>
            </w:r>
          </w:p>
        </w:tc>
      </w:tr>
      <w:tr>
        <w:trPr>
          <w:trHeight w:val="739" w:hRule="atLeast"/>
        </w:trPr>
        <w:tc>
          <w:tcPr>
            <w:tcW w:w="2477" w:type="dxa"/>
            <w:tcBorders>
              <w:top w:val="double" w:sz="10" w:color="000000"/>
              <w:left w:val="single" w:sz="10" w:color="000000"/>
              <w:bottom w:val="single" w:sz="10" w:color="000000"/>
              <w:right w:val="single" w:sz="10" w:color="000000"/>
            </w:tcBorders>
            <w:vAlign w:val="top"/>
          </w:tcPr>
          <w:p>
            <w:pPr>
              <w:spacing w:before="0" w:after="0" w:line="259" w:lineRule="auto"/>
              <w:ind w:left="0" w:right="0" w:firstLine="0"/>
              <w:jc w:val="left"/>
            </w:pPr>
            <w:r>
              <w:rPr>
                <w:sz w:val="14"/>
              </w:rPr>
              <w:t xml:space="preserve">5.    The draft Constitution is returned to the Constituent Assembly as prescribed by the CRA,  to revise the draft for a second referendum. And disputes ensue over the </w:t>
            </w:r>
          </w:p>
        </w:tc>
        <w:tc>
          <w:tcPr>
            <w:tcW w:w="1627" w:type="dxa"/>
            <w:tcBorders>
              <w:top w:val="double" w:sz="10" w:color="000000"/>
              <w:left w:val="single" w:sz="10" w:color="000000"/>
              <w:bottom w:val="sing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Monitoring of the public opinion on pertinent issues i.e. the format for the Union on Zanzibar will be conducted by UN staff on the ground. Additional reinforcements will be provided through the deployment of a DPA mission before the referendum.</w:t>
            </w:r>
          </w:p>
        </w:tc>
      </w:tr>
      <w:tr>
        <w:trPr>
          <w:trHeight w:val="777"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6.</w:t>
            </w:r>
            <w:r>
              <w:rPr>
                <w:sz w:val="14"/>
              </w:rPr>
              <w:t xml:space="preserve">  A second referendum on a revised draft Constitution is rejected.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39" w:firstLine="0"/>
              <w:jc w:val="center"/>
            </w:pPr>
            <w:r>
              <w:rPr>
                <w:rFonts w:cs="Calibri" w:hAnsi="Calibri" w:eastAsia="Calibri" w:ascii="Calibri"/>
                <w:b w:val="1"/>
                <w:i w:val="1"/>
                <w:sz w:val="14"/>
              </w:rPr>
              <w:t xml:space="preserve">MODERATE </w:t>
            </w:r>
          </w:p>
          <w:p>
            <w:pPr>
              <w:spacing w:before="0" w:after="0" w:line="259" w:lineRule="auto"/>
              <w:ind w:left="0" w:right="39" w:firstLine="0"/>
              <w:jc w:val="center"/>
            </w:pPr>
            <w:r>
              <w:rPr>
                <w:rFonts w:cs="Calibri" w:hAnsi="Calibri" w:eastAsia="Calibri" w:ascii="Calibri"/>
                <w:b w:val="1"/>
                <w:i w:val="1"/>
                <w:sz w:val="14"/>
              </w:rPr>
              <w:t xml:space="preserve">RISK/MODERATE </w:t>
            </w:r>
          </w:p>
          <w:p>
            <w:pPr>
              <w:spacing w:before="0" w:after="0" w:line="259" w:lineRule="auto"/>
              <w:ind w:left="0" w:right="39" w:firstLine="0"/>
              <w:jc w:val="center"/>
            </w:pPr>
            <w:r>
              <w:rPr>
                <w:rFonts w:cs="Calibri" w:hAnsi="Calibri" w:eastAsia="Calibri" w:ascii="Calibri"/>
                <w:b w:val="1"/>
                <w:i w:val="1"/>
                <w:sz w:val="14"/>
              </w:rPr>
              <w:t xml:space="preserve">PROBABILITY</w:t>
            </w: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assist and support appropriate contingency planning.  The PSC will work with other key stakeholders to ensure that they are aware of the constraints on EMB operations due to delays.</w:t>
            </w:r>
          </w:p>
        </w:tc>
      </w:tr>
      <w:tr>
        <w:trPr>
          <w:trHeight w:val="56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Serious conflict prevention/mitigation efforts will be introduced through appropriate adjustment to the project document under the leadership of the PSC.</w:t>
            </w:r>
          </w:p>
        </w:tc>
      </w:tr>
      <w:tr>
        <w:trPr>
          <w:trHeight w:val="9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r>
        <w:trPr>
          <w:trHeight w:val="206"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Appropriate political dialogue mechanisms introduced through consultations between stakeholders.</w:t>
            </w:r>
          </w:p>
        </w:tc>
      </w:tr>
      <w:tr>
        <w:trPr>
          <w:trHeight w:val="79" w:hRule="atLeast"/>
        </w:trPr>
        <w:tc>
          <w:tcPr>
            <w:tcW w:w="247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1627" w:type="dxa"/>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479" w:hRule="atLeast"/>
        </w:trPr>
        <w:tc>
          <w:tcPr>
            <w:tcW w:w="2477" w:type="dxa"/>
            <w:tcBorders>
              <w:top w:val="single" w:sz="10" w:color="000000"/>
              <w:left w:val="single" w:sz="10" w:color="000000"/>
              <w:bottom w:val="double" w:sz="10" w:color="000000"/>
              <w:right w:val="single" w:sz="10" w:color="000000"/>
            </w:tcBorders>
            <w:vAlign w:val="top"/>
          </w:tcPr>
          <w:p>
            <w:pPr>
              <w:spacing w:before="0" w:after="0" w:line="259" w:lineRule="auto"/>
              <w:ind w:left="0" w:right="0" w:firstLine="0"/>
              <w:jc w:val="left"/>
            </w:pPr>
            <w:r>
              <w:rPr>
                <w:sz w:val="14"/>
              </w:rPr>
              <w:t xml:space="preserve">7.</w:t>
            </w:r>
            <w:r>
              <w:rPr>
                <w:sz w:val="14"/>
              </w:rPr>
              <w:t xml:space="preserve">  The referendum passes and Tanzania has a new Constitution.  </w:t>
            </w:r>
          </w:p>
        </w:tc>
        <w:tc>
          <w:tcPr>
            <w:tcW w:w="1627" w:type="dxa"/>
            <w:tcBorders>
              <w:top w:val="single" w:sz="10" w:color="000000"/>
              <w:left w:val="single" w:sz="10" w:color="000000"/>
              <w:bottom w:val="double" w:sz="10" w:color="000000"/>
              <w:right w:val="single" w:sz="10" w:color="000000"/>
            </w:tcBorders>
            <w:vAlign w:val="top"/>
          </w:tcPr>
          <w:p>
            <w:pPr>
              <w:spacing w:before="0" w:after="0" w:line="259" w:lineRule="auto"/>
              <w:ind w:left="400" w:right="0" w:hanging="98"/>
              <w:jc w:val="left"/>
            </w:pPr>
            <w:r>
              <w:rPr>
                <w:rFonts w:cs="Calibri" w:hAnsi="Calibri" w:eastAsia="Calibri" w:ascii="Calibri"/>
                <w:b w:val="1"/>
                <w:i w:val="1"/>
                <w:sz w:val="14"/>
              </w:rPr>
              <w:t xml:space="preserve"> LOW RISK/HIGH PROBABILITY</w:t>
            </w:r>
          </w:p>
        </w:tc>
        <w:tc>
          <w:tcPr>
            <w:tcW w:w="7415" w:type="dxa"/>
            <w:tcBorders>
              <w:top w:val="single" w:sz="10" w:color="000000"/>
              <w:left w:val="single" w:sz="10" w:color="000000"/>
              <w:bottom w:val="double" w:sz="10" w:color="000000"/>
              <w:right w:val="single" w:sz="10" w:color="000000"/>
            </w:tcBorders>
            <w:shd w:val="clear" w:fill="ffff00"/>
            <w:vAlign w:val="top"/>
          </w:tcPr>
          <w:p>
            <w:pPr>
              <w:spacing w:before="0" w:after="0" w:line="259" w:lineRule="auto"/>
              <w:ind w:left="0" w:right="0" w:firstLine="0"/>
              <w:jc w:val="center"/>
            </w:pPr>
            <w:r>
              <w:rPr>
                <w:sz w:val="14"/>
              </w:rPr>
              <w:t xml:space="preserve">An analysis of the contents of the first draft Constitution issued by the CRC on Monday 3rd June 2013 conducted to determine initial impact on electoral event and update risk analysis accordingly. </w:t>
            </w:r>
          </w:p>
        </w:tc>
      </w:tr>
      <w:tr>
        <w:trPr>
          <w:trHeight w:val="493" w:hRule="atLeast"/>
        </w:trPr>
        <w:tc>
          <w:tcPr>
            <w:tcW w:w="2477" w:type="dxa"/>
            <w:vMerge w:val="restart"/>
            <w:tcBorders>
              <w:top w:val="double" w:sz="10" w:color="000000"/>
              <w:left w:val="single" w:sz="10" w:color="000000"/>
              <w:bottom w:val="nil"/>
              <w:right w:val="single" w:sz="10" w:color="000000"/>
            </w:tcBorders>
            <w:vAlign w:val="center"/>
          </w:tcPr>
          <w:p>
            <w:pPr>
              <w:spacing w:before="0" w:after="1" w:line="259" w:lineRule="auto"/>
              <w:ind w:left="0" w:right="0" w:firstLine="0"/>
              <w:jc w:val="left"/>
            </w:pPr>
            <w:r>
              <w:rPr>
                <w:sz w:val="14"/>
              </w:rPr>
              <w:t xml:space="preserve">8.</w:t>
            </w:r>
            <w:r>
              <w:rPr>
                <w:rFonts w:cs="Times New Roman" w:hAnsi="Times New Roman" w:eastAsia="Times New Roman" w:ascii="Times New Roman"/>
                <w:sz w:val="9"/>
              </w:rPr>
              <w:t xml:space="preserve">       </w:t>
            </w:r>
            <w:r>
              <w:rPr>
                <w:sz w:val="14"/>
              </w:rPr>
              <w:t xml:space="preserve">Sweeping Change:  The new </w:t>
            </w:r>
          </w:p>
          <w:p>
            <w:pPr>
              <w:spacing w:before="0" w:after="0" w:line="259" w:lineRule="auto"/>
              <w:ind w:left="0" w:right="0" w:firstLine="0"/>
              <w:jc w:val="left"/>
            </w:pPr>
            <w:r>
              <w:rPr>
                <w:sz w:val="14"/>
              </w:rPr>
              <w:t xml:space="preserve">Constitution requires massive changes to the legal frameworks for elections result in further post-referendum delays in the drafting of new laws and Parliamentary debate on required new/revised legislations delayed.    </w:t>
            </w:r>
          </w:p>
        </w:tc>
        <w:tc>
          <w:tcPr>
            <w:tcW w:w="1627" w:type="dxa"/>
            <w:vMerge w:val="restart"/>
            <w:tcBorders>
              <w:top w:val="double" w:sz="10" w:color="000000"/>
              <w:left w:val="single" w:sz="10" w:color="000000"/>
              <w:bottom w:val="nil"/>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Careful monitoring of the situation regarding progress to draft and enact necessary revised/new legislation related to the electoral process and the timing of passage will be required by the PSC.  </w:t>
            </w:r>
          </w:p>
        </w:tc>
      </w:tr>
      <w:tr>
        <w:trPr>
          <w:trHeight w:val="96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Both EMBs provide recommendations to government regarding revisions to and the drafting of new electoral legislation.  DEP will provide technical support to both EMBs in the drafting of new legislation, policies, regulations and guidelines. Capacity building activities for the EMBs, which have been designed to cater to more sustainable institutional support for the effective functioning of the EMBs, also includes legislative drafting. </w:t>
            </w:r>
          </w:p>
        </w:tc>
      </w:tr>
      <w:tr>
        <w:trPr>
          <w:trHeight w:val="60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5" w:firstLine="0"/>
              <w:jc w:val="left"/>
            </w:pPr>
            <w:r>
              <w:rPr>
                <w:sz w:val="14"/>
              </w:rPr>
              <w:t xml:space="preserve">The Legislatures Support Project (LSP) that provides institutional strengthening for more effective and accountable functioning of the National Assembly and House of Representatives supported will step-up its support on electoral reform in Parliament.</w:t>
            </w:r>
          </w:p>
        </w:tc>
      </w:tr>
      <w:tr>
        <w:trPr>
          <w:trHeight w:val="99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New/revised legislation could include: a new Elections Act, an act describing the structure and functions of the NEC, a Political Parties Act, political finance legislation, and others.  These will have to be drafted and passed if the new Constitution passes the referendum.  Which laws are required prior to the general election is not known (see item 3 above).  This could pose major threats to the timing and conduct of the 2015 elections.</w:t>
            </w:r>
          </w:p>
        </w:tc>
      </w:tr>
      <w:tr>
        <w:trPr>
          <w:trHeight w:val="8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vAlign w:val="top"/>
          </w:tcPr>
          <w:p>
            <w:pPr>
              <w:bidi w:val="0"/>
              <w:spacing w:before="0" w:after="160" w:line="259" w:lineRule="auto"/>
              <w:ind w:left="0" w:right="0" w:firstLine="0"/>
              <w:jc w:val="left"/>
            </w:pPr>
          </w:p>
        </w:tc>
      </w:tr>
    </w:tbl>
    <w:p>
      <w:pPr>
        <w:spacing w:before="0" w:after="0" w:line="259" w:lineRule="auto"/>
        <w:ind w:left="-1440" w:right="1719" w:firstLine="0"/>
        <w:jc w:val="left"/>
      </w:pPr>
    </w:p>
    <w:tbl>
      <w:tblPr>
        <w:tblStyle w:val="TableGrid"/>
        <w:tblW w:w="11519" w:type="dxa"/>
        <w:tblInd w:w="718" w:type="dxa"/>
        <w:tblCellMar>
          <w:top w:w="0" w:type="dxa"/>
          <w:left w:w="29" w:type="dxa"/>
          <w:bottom w:w="0" w:type="dxa"/>
          <w:right w:w="14" w:type="dxa"/>
        </w:tblCellMar>
      </w:tblPr>
      <w:tblGrid>
        <w:gridCol w:w="2477"/>
        <w:gridCol w:w="1627"/>
        <w:gridCol w:w="7415"/>
      </w:tblGrid>
      <w:tr>
        <w:trPr>
          <w:trHeight w:val="1646"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9.</w:t>
            </w:r>
            <w:r>
              <w:rPr>
                <w:sz w:val="14"/>
              </w:rPr>
              <w:t xml:space="preserve">       Under the new Constitution, NEC is given the mandate to manage local government elections between the referendum and general elections which are then planned for 2014 or early 2015 (between the referendum and before the general elections).</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372" w:right="0" w:hanging="247"/>
              <w:jc w:val="left"/>
            </w:pPr>
            <w:r>
              <w:rPr>
                <w:rFonts w:cs="Calibri" w:hAnsi="Calibri" w:eastAsia="Calibri" w:ascii="Calibri"/>
                <w:b w:val="1"/>
                <w:i w:val="1"/>
                <w:sz w:val="14"/>
              </w:rPr>
              <w:t xml:space="preserve">HIGH RISK/MODERATE PROBABLILITY</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Local elections are technically and operational the most complex elections for any EMB.  The NEC has not previously been involved in the conduct of local elections as these have been managed under the office of the Prime Minister.  Should the mandate for managing local elections be given to the NEC and should these elections be scheduled for the period after the referendum and prior to the general elections, it would seriously and negatively impact the ability of the NEC to deliver on either local or general elections.</w:t>
            </w:r>
          </w:p>
        </w:tc>
      </w:tr>
      <w:tr>
        <w:trPr>
          <w:trHeight w:val="1326"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DEP will work closely with the NEC to monitor this issue and support them in the preparation of comprehensive contingency plans, including staffing, cost and time requirements.  PSC will work with key GOT, political party and parliamentary stakeholders to keep them informed of the impact of such decisions on EMB ability to deliver credible, cost-effective elections.</w:t>
            </w:r>
          </w:p>
        </w:tc>
      </w:tr>
      <w:tr>
        <w:trPr>
          <w:trHeight w:val="361" w:hRule="atLeast"/>
        </w:trPr>
        <w:tc>
          <w:tcPr>
            <w:tcW w:w="2477" w:type="dxa"/>
            <w:tcBorders>
              <w:top w:val="single" w:sz="10" w:color="000000"/>
              <w:left w:val="single" w:sz="10" w:color="000000"/>
              <w:bottom w:val="single" w:sz="10"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w:t>
            </w:r>
          </w:p>
        </w:tc>
        <w:tc>
          <w:tcPr>
            <w:tcW w:w="1627" w:type="dxa"/>
            <w:tcBorders>
              <w:top w:val="single" w:sz="10" w:color="000000"/>
              <w:left w:val="single" w:sz="10" w:color="000000"/>
              <w:bottom w:val="single" w:sz="10" w:color="000000"/>
              <w:right w:val="single" w:sz="10" w:color="000000"/>
            </w:tcBorders>
            <w:shd w:val="clear" w:fill="95b3d7"/>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shd w:val="clear" w:fill="95b3d7"/>
            <w:vAlign w:val="center"/>
          </w:tcPr>
          <w:p>
            <w:pPr>
              <w:spacing w:before="0" w:after="0" w:line="259" w:lineRule="auto"/>
              <w:ind w:left="0" w:right="0" w:firstLine="0"/>
              <w:jc w:val="left"/>
            </w:pPr>
            <w:r>
              <w:rPr>
                <w:rFonts w:cs="Calibri" w:hAnsi="Calibri" w:eastAsia="Calibri" w:ascii="Calibri"/>
                <w:b w:val="1"/>
                <w:sz w:val="14"/>
              </w:rPr>
              <w:t xml:space="preserve">RISK MANAGEMENT MEASURES </w:t>
            </w:r>
          </w:p>
        </w:tc>
      </w:tr>
      <w:tr>
        <w:trPr>
          <w:trHeight w:val="370" w:hRule="atLeast"/>
        </w:trPr>
        <w:tc>
          <w:tcPr>
            <w:tcW w:w="11519" w:type="dxa"/>
            <w:gridSpan w:val="3"/>
            <w:tcBorders>
              <w:top w:val="single" w:sz="10" w:color="000000"/>
              <w:left w:val="single" w:sz="10" w:color="000000"/>
              <w:bottom w:val="single" w:sz="10" w:color="000000"/>
              <w:right w:val="single" w:sz="10" w:color="000000"/>
            </w:tcBorders>
            <w:shd w:val="clear" w:fill="c6d9f1"/>
            <w:vAlign w:val="center"/>
          </w:tcPr>
          <w:p>
            <w:pPr>
              <w:spacing w:before="0" w:after="0" w:line="259" w:lineRule="auto"/>
              <w:ind w:left="0" w:right="0" w:firstLine="0"/>
              <w:jc w:val="left"/>
            </w:pPr>
            <w:r>
              <w:rPr>
                <w:rFonts w:cs="Calibri" w:hAnsi="Calibri" w:eastAsia="Calibri" w:ascii="Calibri"/>
                <w:b w:val="1"/>
                <w:sz w:val="14"/>
              </w:rPr>
              <w:t xml:space="preserve">b.  Political Stakeholders and Public Reaction Risks:</w:t>
            </w:r>
          </w:p>
        </w:tc>
      </w:tr>
      <w:tr>
        <w:trPr>
          <w:trHeight w:val="159" w:hRule="atLeast"/>
        </w:trPr>
        <w:tc>
          <w:tcPr>
            <w:tcW w:w="11519" w:type="dxa"/>
            <w:gridSpan w:val="3"/>
            <w:tcBorders>
              <w:top w:val="single" w:sz="10" w:color="000000"/>
              <w:left w:val="single" w:sz="10" w:color="000000"/>
              <w:bottom w:val="single" w:sz="10" w:color="000000"/>
              <w:right w:val="single" w:sz="10" w:color="000000"/>
            </w:tcBorders>
            <w:vAlign w:val="top"/>
          </w:tcPr>
          <w:p>
            <w:pPr>
              <w:bidi w:val="0"/>
              <w:spacing w:before="0" w:after="160" w:line="259" w:lineRule="auto"/>
              <w:ind w:left="0" w:right="0" w:firstLine="0"/>
              <w:jc w:val="left"/>
            </w:pPr>
          </w:p>
        </w:tc>
      </w:tr>
      <w:tr>
        <w:trPr>
          <w:trHeight w:val="404" w:hRule="atLeast"/>
        </w:trPr>
        <w:tc>
          <w:tcPr>
            <w:tcW w:w="247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0" w:right="0" w:firstLine="0"/>
              <w:jc w:val="left"/>
            </w:pPr>
            <w:r>
              <w:rPr>
                <w:sz w:val="14"/>
              </w:rPr>
              <w:t xml:space="preserve">1.</w:t>
            </w:r>
            <w:r>
              <w:rPr>
                <w:sz w:val="14"/>
              </w:rPr>
              <w:t xml:space="preserve">       Conflict:  Violence related to the political process erupts. </w:t>
            </w:r>
          </w:p>
        </w:tc>
        <w:tc>
          <w:tcPr>
            <w:tcW w:w="1627" w:type="dxa"/>
            <w:vMerge w:val="restart"/>
            <w:tcBorders>
              <w:top w:val="single" w:sz="10" w:color="000000"/>
              <w:left w:val="single" w:sz="10" w:color="000000"/>
              <w:bottom w:val="single" w:sz="10" w:color="000000"/>
              <w:right w:val="single" w:sz="10" w:color="000000"/>
            </w:tcBorders>
            <w:vAlign w:val="center"/>
          </w:tcPr>
          <w:p>
            <w:pPr>
              <w:spacing w:before="0" w:after="0" w:line="259" w:lineRule="auto"/>
              <w:ind w:left="67" w:right="0" w:firstLine="0"/>
              <w:jc w:val="left"/>
            </w:pPr>
            <w:r>
              <w:rPr>
                <w:rFonts w:cs="Calibri" w:hAnsi="Calibri" w:eastAsia="Calibri" w:ascii="Calibri"/>
                <w:b w:val="1"/>
                <w:i w:val="1"/>
                <w:sz w:val="14"/>
              </w:rPr>
              <w:t xml:space="preserve">HIGH IMPACT/HIGH RISK</w:t>
            </w:r>
          </w:p>
        </w:tc>
        <w:tc>
          <w:tcPr>
            <w:tcW w:w="7415" w:type="dxa"/>
            <w:tcBorders>
              <w:top w:val="sing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Efforts to avoid, prevent, mitigate and resolve electoral/political violence in Tanzania should be established as soon as possible. </w:t>
            </w:r>
          </w:p>
          <w:p>
            <w:pPr>
              <w:spacing w:before="0" w:after="0" w:line="259" w:lineRule="auto"/>
              <w:ind w:left="0" w:right="0" w:firstLine="0"/>
              <w:jc w:val="left"/>
            </w:pPr>
            <w:r>
              <w:rPr>
                <w:rFonts w:cs="Calibri" w:hAnsi="Calibri" w:eastAsia="Calibri" w:ascii="Calibri"/>
                <w:i w:val="1"/>
                <w:sz w:val="14"/>
              </w:rPr>
              <w:t xml:space="preserve">Support and coordination of activities among and between donors, implementers, political actors, the GOT and security forces and </w:t>
            </w:r>
          </w:p>
        </w:tc>
      </w:tr>
      <w:tr>
        <w:trPr>
          <w:trHeight w:val="19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with the EMBs will be critical to success.</w:t>
            </w:r>
          </w:p>
        </w:tc>
      </w:tr>
      <w:tr>
        <w:trPr>
          <w:trHeight w:val="20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Political/electoral violence emerged on the mainland in the aftermath of the 2010 elections and has continued sporadically since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then.  Zanzibar has also seen sporadic political violence.  As the constitutional reform process and the introduction of bio-metric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voter registration move forward, increased conflict and associated violence should be expected. </w:t>
            </w:r>
          </w:p>
        </w:tc>
      </w:tr>
      <w:tr>
        <w:trPr>
          <w:trHeight w:val="185"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center"/>
          </w:tcPr>
          <w:p>
            <w:pPr>
              <w:bidi w:val="0"/>
              <w:spacing w:before="0" w:after="160" w:line="259" w:lineRule="auto"/>
              <w:ind w:left="0" w:right="0" w:firstLine="0"/>
              <w:jc w:val="left"/>
            </w:pPr>
          </w:p>
        </w:tc>
        <w:tc>
          <w:tcPr>
            <w:tcW w:w="7415" w:type="dxa"/>
            <w:tcBorders>
              <w:top w:val="nil"/>
              <w:left w:val="single" w:sz="10" w:color="000000"/>
              <w:bottom w:val="single" w:sz="5" w:color="ffff00"/>
              <w:right w:val="single" w:sz="10" w:color="000000"/>
            </w:tcBorders>
            <w:shd w:val="clear" w:fill="ffff00"/>
            <w:vAlign w:val="top"/>
          </w:tcPr>
          <w:p>
            <w:pPr>
              <w:bidi w:val="0"/>
              <w:spacing w:before="0" w:after="160" w:line="259" w:lineRule="auto"/>
              <w:ind w:left="0" w:right="0" w:firstLine="0"/>
              <w:jc w:val="left"/>
            </w:pPr>
          </w:p>
        </w:tc>
      </w:tr>
      <w:tr>
        <w:trPr>
          <w:trHeight w:val="124"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5"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6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be directly impacted by political/electoral conflict and violence in two clear ways:  </w:t>
            </w:r>
          </w:p>
        </w:tc>
      </w:tr>
      <w:tr>
        <w:trPr>
          <w:trHeight w:val="17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First, project work will potentially be disrupted/delayed or altered.  Project and UNDP Country Office management will work to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minimize disruption while collaborating with UNDSS to ensure the welfare of project staff.</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Second, is in terms of the safety and security of project personnel and other assets.  DEP will fully implement any/all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pPr>
            <w:r>
              <w:rPr>
                <w:sz w:val="14"/>
              </w:rPr>
              <w:t xml:space="preserve">recommendations regarding safety and security made by UNDSS.  Close operational liaison will be established with UNDSS regarding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any/all safety and security issues.</w:t>
            </w:r>
          </w:p>
        </w:tc>
      </w:tr>
      <w:tr>
        <w:trPr>
          <w:trHeight w:val="20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20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Community and Inclusiveness Dialog Specialists will engage with a wide range of actors from the police to civil society to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develop and implement creative strategies to prevent and mitigate electoral/political violence.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8" w:hRule="atLeast"/>
        </w:trPr>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sing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0" w:color="000000"/>
              <w:right w:val="single" w:sz="10" w:color="000000"/>
            </w:tcBorders>
            <w:shd w:val="clear" w:fill="ffc000"/>
            <w:vAlign w:val="top"/>
          </w:tcPr>
          <w:p>
            <w:pPr>
              <w:bidi w:val="0"/>
              <w:spacing w:before="0" w:after="160" w:line="259" w:lineRule="auto"/>
              <w:ind w:left="0" w:right="0" w:firstLine="0"/>
              <w:jc w:val="left"/>
            </w:pPr>
          </w:p>
        </w:tc>
      </w:tr>
      <w:tr>
        <w:trPr>
          <w:trHeight w:val="62" w:hRule="atLeast"/>
        </w:trPr>
        <w:tc>
          <w:tcPr>
            <w:tcW w:w="11519" w:type="dxa"/>
            <w:gridSpan w:val="3"/>
            <w:tcBorders>
              <w:top w:val="single" w:sz="10" w:color="000000"/>
              <w:left w:val="single" w:sz="10" w:color="000000"/>
              <w:bottom w:val="nil"/>
              <w:right w:val="single" w:sz="10" w:color="000000"/>
            </w:tcBorders>
            <w:vAlign w:val="top"/>
          </w:tcPr>
          <w:p>
            <w:pPr>
              <w:bidi w:val="0"/>
              <w:spacing w:before="0" w:after="160" w:line="259" w:lineRule="auto"/>
              <w:ind w:left="0" w:right="0" w:firstLine="0"/>
              <w:jc w:val="left"/>
            </w:pPr>
          </w:p>
        </w:tc>
      </w:tr>
    </w:tbl>
    <w:p>
      <w:pPr>
        <w:spacing w:before="0" w:after="0" w:line="259" w:lineRule="auto"/>
        <w:ind w:left="-1440" w:right="1719" w:firstLine="0"/>
        <w:jc w:val="left"/>
      </w:pPr>
    </w:p>
    <w:tbl>
      <w:tblPr>
        <w:tblStyle w:val="TableGrid"/>
        <w:tblW w:w="11519" w:type="dxa"/>
        <w:tblInd w:w="718" w:type="dxa"/>
        <w:tblCellMar>
          <w:top w:w="0" w:type="dxa"/>
          <w:left w:w="29" w:type="dxa"/>
          <w:bottom w:w="0" w:type="dxa"/>
          <w:right w:w="11" w:type="dxa"/>
        </w:tblCellMar>
      </w:tblPr>
      <w:tblGrid>
        <w:gridCol w:w="2477"/>
        <w:gridCol w:w="1627"/>
        <w:gridCol w:w="7415"/>
      </w:tblGrid>
      <w:tr>
        <w:trPr>
          <w:trHeight w:val="368" w:hRule="atLeast"/>
        </w:trPr>
        <w:tc>
          <w:tcPr>
            <w:tcW w:w="2477" w:type="dxa"/>
            <w:tcBorders>
              <w:top w:val="single" w:sz="10" w:color="000000"/>
              <w:left w:val="single" w:sz="10" w:color="000000"/>
              <w:bottom w:val="single" w:sz="10" w:color="000000"/>
              <w:right w:val="single" w:sz="10" w:color="000000"/>
            </w:tcBorders>
            <w:shd w:val="clear" w:fill="8db4e3"/>
            <w:vAlign w:val="center"/>
          </w:tcPr>
          <w:p>
            <w:pPr>
              <w:spacing w:before="0" w:after="0" w:line="259" w:lineRule="auto"/>
              <w:ind w:left="0" w:right="0" w:firstLine="0"/>
              <w:jc w:val="left"/>
            </w:pPr>
            <w:r>
              <w:rPr>
                <w:rFonts w:cs="Calibri" w:hAnsi="Calibri" w:eastAsia="Calibri" w:ascii="Calibri"/>
                <w:b w:val="1"/>
                <w:sz w:val="14"/>
              </w:rPr>
              <w:t xml:space="preserve">RISKS</w:t>
            </w:r>
          </w:p>
        </w:tc>
        <w:tc>
          <w:tcPr>
            <w:tcW w:w="1627" w:type="dxa"/>
            <w:tcBorders>
              <w:top w:val="single" w:sz="10" w:color="000000"/>
              <w:left w:val="single" w:sz="10" w:color="000000"/>
              <w:bottom w:val="single" w:sz="10" w:color="000000"/>
              <w:right w:val="single" w:sz="10" w:color="000000"/>
            </w:tcBorders>
            <w:shd w:val="clear" w:fill="8db4e3"/>
            <w:vAlign w:val="top"/>
          </w:tcPr>
          <w:p>
            <w:pPr>
              <w:bidi w:val="0"/>
              <w:spacing w:before="0" w:after="160" w:line="259" w:lineRule="auto"/>
              <w:ind w:left="0" w:right="0" w:firstLine="0"/>
              <w:jc w:val="left"/>
            </w:pPr>
          </w:p>
        </w:tc>
        <w:tc>
          <w:tcPr>
            <w:tcW w:w="7415" w:type="dxa"/>
            <w:tcBorders>
              <w:top w:val="single" w:sz="10" w:color="000000"/>
              <w:left w:val="single" w:sz="10" w:color="000000"/>
              <w:bottom w:val="single" w:sz="10" w:color="000000"/>
              <w:right w:val="single" w:sz="10" w:color="000000"/>
            </w:tcBorders>
            <w:shd w:val="clear" w:fill="8db4e3"/>
            <w:vAlign w:val="center"/>
          </w:tcPr>
          <w:p>
            <w:pPr>
              <w:spacing w:before="0" w:after="0" w:line="259" w:lineRule="auto"/>
              <w:ind w:left="0" w:right="0" w:firstLine="0"/>
              <w:jc w:val="left"/>
            </w:pPr>
            <w:r>
              <w:rPr>
                <w:rFonts w:cs="Calibri" w:hAnsi="Calibri" w:eastAsia="Calibri" w:ascii="Calibri"/>
                <w:b w:val="1"/>
                <w:sz w:val="14"/>
              </w:rPr>
              <w:t xml:space="preserve">RISK MANAGEMENT MEASURES</w:t>
            </w:r>
          </w:p>
        </w:tc>
      </w:tr>
      <w:tr>
        <w:trPr>
          <w:trHeight w:val="370" w:hRule="atLeast"/>
        </w:trPr>
        <w:tc>
          <w:tcPr>
            <w:tcW w:w="11519" w:type="dxa"/>
            <w:gridSpan w:val="3"/>
            <w:tcBorders>
              <w:top w:val="single" w:sz="10" w:color="000000"/>
              <w:left w:val="single" w:sz="10" w:color="000000"/>
              <w:bottom w:val="single" w:sz="10" w:color="000000"/>
              <w:right w:val="single" w:sz="10" w:color="000000"/>
            </w:tcBorders>
            <w:shd w:val="clear" w:fill="c6d9f1"/>
            <w:vAlign w:val="center"/>
          </w:tcPr>
          <w:p>
            <w:pPr>
              <w:spacing w:before="0" w:after="0" w:line="259" w:lineRule="auto"/>
              <w:ind w:left="302" w:right="0" w:firstLine="0"/>
              <w:jc w:val="left"/>
            </w:pPr>
            <w:r>
              <w:rPr>
                <w:rFonts w:cs="Calibri" w:hAnsi="Calibri" w:eastAsia="Calibri" w:ascii="Calibri"/>
                <w:b w:val="1"/>
                <w:sz w:val="14"/>
              </w:rPr>
              <w:t xml:space="preserve">C.     Project Management, Operational and Technical Risks: </w:t>
            </w:r>
          </w:p>
        </w:tc>
      </w:tr>
      <w:tr>
        <w:trPr>
          <w:trHeight w:val="182" w:hRule="atLeast"/>
        </w:trPr>
        <w:tc>
          <w:tcPr>
            <w:tcW w:w="247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0" w:right="12" w:firstLine="0"/>
              <w:jc w:val="center"/>
            </w:pPr>
            <w:r>
              <w:rPr>
                <w:sz w:val="14"/>
              </w:rPr>
              <w:t xml:space="preserve">1.</w:t>
            </w:r>
            <w:r>
              <w:rPr>
                <w:sz w:val="14"/>
              </w:rPr>
              <w:t xml:space="preserve">      Failure to Apply Lessons Learned: </w:t>
            </w:r>
          </w:p>
          <w:p>
            <w:pPr>
              <w:spacing w:before="0" w:after="0" w:line="259" w:lineRule="auto"/>
              <w:ind w:left="65" w:right="0" w:firstLine="0"/>
              <w:jc w:val="left"/>
            </w:pPr>
            <w:r>
              <w:rPr>
                <w:sz w:val="14"/>
              </w:rPr>
              <w:t xml:space="preserve">Project management lessons arising from </w:t>
            </w:r>
          </w:p>
          <w:p>
            <w:pPr>
              <w:spacing w:before="0" w:after="0" w:line="259" w:lineRule="auto"/>
              <w:ind w:left="0" w:right="0" w:firstLine="0"/>
              <w:jc w:val="center"/>
            </w:pPr>
            <w:r>
              <w:rPr>
                <w:sz w:val="14"/>
              </w:rPr>
              <w:t xml:space="preserve">DDTP and ESP experiences are not incorporated into DEP design and implementation strategies.</w:t>
            </w:r>
          </w:p>
        </w:tc>
        <w:tc>
          <w:tcPr>
            <w:tcW w:w="1627" w:type="dxa"/>
            <w:vMerge w:val="restart"/>
            <w:tcBorders>
              <w:top w:val="single" w:sz="10" w:color="000000"/>
              <w:left w:val="single" w:sz="10" w:color="000000"/>
              <w:bottom w:val="doub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single" w:sz="10" w:color="000000"/>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Implementation of electoral cycle model targeting human and institutional capacity building  via direct implementation modality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(DIM) and with direct involvement of UNDP management come directly from lessons learned in past electoral assistance projects in </w:t>
            </w:r>
          </w:p>
        </w:tc>
      </w:tr>
      <w:tr>
        <w:trPr>
          <w:trHeight w:val="19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19" w:color="ffc000"/>
              <w:right w:val="single" w:sz="10" w:color="000000"/>
            </w:tcBorders>
            <w:shd w:val="clear" w:fill="ffc000"/>
            <w:vAlign w:val="top"/>
          </w:tcPr>
          <w:p>
            <w:pPr>
              <w:spacing w:before="0" w:after="0" w:line="259" w:lineRule="auto"/>
              <w:ind w:left="0" w:right="0" w:firstLine="0"/>
              <w:jc w:val="left"/>
            </w:pPr>
            <w:r>
              <w:rPr>
                <w:sz w:val="14"/>
              </w:rPr>
              <w:t xml:space="preserve">Tanzania and are the foundation of DEP.</w:t>
            </w:r>
          </w:p>
        </w:tc>
      </w:tr>
      <w:tr>
        <w:trPr>
          <w:trHeight w:val="8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19"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However, the late start of actual project operations  (vis-à-vis the referendum) means that capacity building will necessarily be </w:t>
            </w:r>
          </w:p>
        </w:tc>
      </w:tr>
      <w:tr>
        <w:trPr>
          <w:trHeight w:val="20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22" w:color="ffc000"/>
              <w:right w:val="single" w:sz="10" w:color="000000"/>
            </w:tcBorders>
            <w:shd w:val="clear" w:fill="ffc000"/>
            <w:vAlign w:val="top"/>
          </w:tcPr>
          <w:p>
            <w:pPr>
              <w:spacing w:before="0" w:after="0" w:line="259" w:lineRule="auto"/>
              <w:ind w:left="0" w:right="0" w:firstLine="0"/>
              <w:jc w:val="left"/>
            </w:pPr>
            <w:r>
              <w:rPr>
                <w:sz w:val="14"/>
              </w:rPr>
              <w:t xml:space="preserve">adapted to the electoral calendar and will work around electoral events.</w:t>
            </w:r>
          </w:p>
        </w:tc>
      </w:tr>
      <w:tr>
        <w:trPr>
          <w:trHeight w:val="9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22"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Clarity of communications, especially in regards to beneficiary partner expectations area critical.  DEP management will develop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clear, concise and consistent approach to communications with all beneficiary partners.</w:t>
            </w:r>
          </w:p>
        </w:tc>
      </w:tr>
      <w:tr>
        <w:trPr>
          <w:trHeight w:val="281"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double" w:sz="10" w:color="000000"/>
              <w:right w:val="single" w:sz="10" w:color="000000"/>
            </w:tcBorders>
            <w:shd w:val="clear" w:fill="ffc000"/>
            <w:vAlign w:val="top"/>
          </w:tcPr>
          <w:p>
            <w:pPr>
              <w:bidi w:val="0"/>
              <w:spacing w:before="0" w:after="160" w:line="259" w:lineRule="auto"/>
              <w:ind w:left="0" w:right="0" w:firstLine="0"/>
              <w:jc w:val="left"/>
            </w:pPr>
          </w:p>
        </w:tc>
      </w:tr>
      <w:tr>
        <w:trPr>
          <w:trHeight w:val="211" w:hRule="atLeast"/>
        </w:trPr>
        <w:tc>
          <w:tcPr>
            <w:tcW w:w="2477" w:type="dxa"/>
            <w:vMerge w:val="restart"/>
            <w:tcBorders>
              <w:top w:val="double" w:sz="10" w:color="000000"/>
              <w:left w:val="single" w:sz="10" w:color="000000"/>
              <w:bottom w:val="double" w:sz="10" w:color="000000"/>
              <w:right w:val="single" w:sz="10" w:color="000000"/>
            </w:tcBorders>
            <w:vAlign w:val="center"/>
          </w:tcPr>
          <w:p>
            <w:pPr>
              <w:spacing w:before="0" w:after="0" w:line="259" w:lineRule="auto"/>
              <w:ind w:left="0" w:right="55" w:firstLine="0"/>
            </w:pPr>
            <w:r>
              <w:rPr>
                <w:sz w:val="14"/>
              </w:rPr>
              <w:t xml:space="preserve">2.  Implementation of BVR:  Rushed implementation of this new system results in serious technical and operational problems with voter registration which call into question the credibility of the list of voters.</w:t>
            </w:r>
          </w:p>
        </w:tc>
        <w:tc>
          <w:tcPr>
            <w:tcW w:w="1627" w:type="dxa"/>
            <w:vMerge w:val="restart"/>
            <w:tcBorders>
              <w:top w:val="double" w:sz="10" w:color="000000"/>
              <w:left w:val="single" w:sz="10" w:color="000000"/>
              <w:bottom w:val="double" w:sz="10" w:color="000000"/>
              <w:right w:val="single" w:sz="10" w:color="000000"/>
            </w:tcBorders>
            <w:vAlign w:val="center"/>
          </w:tcPr>
          <w:p>
            <w:pPr>
              <w:spacing w:before="0" w:after="0" w:line="259" w:lineRule="auto"/>
              <w:ind w:left="401" w:right="0" w:hanging="94"/>
              <w:jc w:val="left"/>
            </w:pPr>
            <w:r>
              <w:rPr>
                <w:rFonts w:cs="Calibri" w:hAnsi="Calibri" w:eastAsia="Calibri" w:ascii="Calibri"/>
                <w:b w:val="1"/>
                <w:i w:val="1"/>
                <w:sz w:val="14"/>
              </w:rPr>
              <w:t xml:space="preserve">HIGH RISK/HIGH PROBABILITY</w:t>
            </w:r>
          </w:p>
        </w:tc>
        <w:tc>
          <w:tcPr>
            <w:tcW w:w="7415" w:type="dxa"/>
            <w:tcBorders>
              <w:top w:val="double" w:sz="10" w:color="000000"/>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The implementation of new and highly complex technical solutions for voter registration are fraught with problems.  Proper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planning which allows time for needed testing, training and verification of such systems is essential. </w:t>
            </w:r>
          </w:p>
        </w:tc>
      </w:tr>
      <w:tr>
        <w:trPr>
          <w:trHeight w:val="20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0" w:color="ffff00"/>
              <w:right w:val="single" w:sz="10" w:color="000000"/>
            </w:tcBorders>
            <w:shd w:val="clear" w:fill="ffff00"/>
            <w:vAlign w:val="top"/>
          </w:tcPr>
          <w:p>
            <w:pPr>
              <w:bidi w:val="0"/>
              <w:spacing w:before="0" w:after="160" w:line="259" w:lineRule="auto"/>
              <w:ind w:left="0" w:right="0" w:firstLine="0"/>
              <w:jc w:val="left"/>
            </w:pPr>
          </w:p>
        </w:tc>
      </w:tr>
      <w:tr>
        <w:trPr>
          <w:trHeight w:val="103"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0" w:color="ffff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pPr>
            <w:r>
              <w:rPr>
                <w:sz w:val="14"/>
              </w:rPr>
              <w:t xml:space="preserve">Collaborations between EMBs and national ID card agencies under similar circumstances have not been particularly successful (Haiti,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sz w:val="14"/>
              </w:rPr>
              <w:t xml:space="preserve">Afghanistan, etc.) in delivering on voter registration due to the fixed and typically short time-frames for implementation. </w:t>
            </w:r>
            <w:r>
              <w:rPr>
                <w:rFonts w:cs="Calibri" w:hAnsi="Calibri" w:eastAsia="Calibri" w:ascii="Calibri"/>
                <w:i w:val="1"/>
                <w:sz w:val="14"/>
              </w:rPr>
              <w:t xml:space="preserve">"In many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cases where joint voter registration processes had failed, governments and election management bodies had rushed to combine civil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and voter registration in the heat of an election.  Suddenly donors and governments realized that it was too expensive to conduct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nation wide voter registration especially where previous registration had not generated an accurate register.  Civil registry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ff00"/>
            <w:vAlign w:val="top"/>
          </w:tcPr>
          <w:p>
            <w:pPr>
              <w:spacing w:before="0" w:after="0" w:line="259" w:lineRule="auto"/>
              <w:ind w:left="0" w:right="0" w:firstLine="0"/>
              <w:jc w:val="left"/>
            </w:pPr>
            <w:r>
              <w:rPr>
                <w:rFonts w:cs="Calibri" w:hAnsi="Calibri" w:eastAsia="Calibri" w:ascii="Calibri"/>
                <w:i w:val="1"/>
                <w:sz w:val="14"/>
              </w:rPr>
              <w:t xml:space="preserve">authorities rushed to use the opportunity to achieve what was difficult before:  getting funding for a civil registry." </w:t>
            </w:r>
            <w:r>
              <w:rPr>
                <w:rFonts w:cs="Calibri" w:hAnsi="Calibri" w:eastAsia="Calibri" w:ascii="Calibri"/>
                <w:i w:val="1"/>
                <w:sz w:val="14"/>
              </w:rPr>
              <w:t xml:space="preserve">*</w:t>
            </w:r>
          </w:p>
        </w:tc>
      </w:tr>
      <w:tr>
        <w:trPr>
          <w:trHeight w:val="229"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40" w:color="ffff00"/>
              <w:right w:val="single" w:sz="10" w:color="000000"/>
            </w:tcBorders>
            <w:shd w:val="clear" w:fill="ffff00"/>
            <w:vAlign w:val="top"/>
          </w:tcPr>
          <w:p>
            <w:pPr>
              <w:bidi w:val="0"/>
              <w:spacing w:before="0" w:after="160" w:line="259" w:lineRule="auto"/>
              <w:ind w:left="0" w:right="0" w:firstLine="0"/>
              <w:jc w:val="left"/>
            </w:pPr>
          </w:p>
        </w:tc>
      </w:tr>
      <w:tr>
        <w:trPr>
          <w:trHeight w:val="25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40" w:color="ffff00"/>
              <w:left w:val="single" w:sz="10" w:color="000000"/>
              <w:bottom w:val="nil"/>
              <w:right w:val="single" w:sz="10" w:color="000000"/>
            </w:tcBorders>
            <w:shd w:val="clear" w:fill="ffff00"/>
            <w:vAlign w:val="top"/>
          </w:tcPr>
          <w:p>
            <w:pPr>
              <w:bidi w:val="0"/>
              <w:spacing w:before="0" w:after="160" w:line="259" w:lineRule="auto"/>
              <w:ind w:left="0" w:right="0" w:firstLine="0"/>
              <w:jc w:val="left"/>
            </w:pPr>
          </w:p>
        </w:tc>
      </w:tr>
      <w:tr>
        <w:trPr>
          <w:trHeight w:val="206"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A comprehensive assessment on the costings, timing and risks associated with the introduction of BVR has been prepared under </w:t>
            </w:r>
          </w:p>
        </w:tc>
      </w:tr>
      <w:tr>
        <w:trPr>
          <w:trHeight w:val="19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The report will be tabled at the PSC to advise on timely, effective and efficient solutions for the NEC to implement voter </w:t>
            </w:r>
          </w:p>
        </w:tc>
      </w:tr>
      <w:tr>
        <w:trPr>
          <w:trHeight w:val="19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registration for the referendum and elections. DEP will work to support BVR through targeted technical assistance focused on the </w:t>
            </w:r>
          </w:p>
        </w:tc>
      </w:tr>
      <w:tr>
        <w:trPr>
          <w:trHeight w:val="738"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5" w:color="ffc000"/>
              <w:right w:val="single" w:sz="10" w:color="000000"/>
            </w:tcBorders>
            <w:shd w:val="clear" w:fill="ffc000"/>
            <w:vAlign w:val="top"/>
          </w:tcPr>
          <w:p>
            <w:pPr>
              <w:spacing w:before="0" w:after="0" w:line="259" w:lineRule="auto"/>
              <w:ind w:left="0" w:right="0" w:firstLine="0"/>
              <w:jc w:val="left"/>
            </w:pPr>
            <w:r>
              <w:rPr>
                <w:sz w:val="14"/>
              </w:rPr>
              <w:t xml:space="preserve">achievement of the NEC's mandate to conduct voter registration.  Equipment and materials will not be provided, however managerial and technical expertise in systems development, integration, process design and management will be provided to support the NEC.</w:t>
            </w:r>
          </w:p>
        </w:tc>
      </w:tr>
      <w:tr>
        <w:trPr>
          <w:trHeight w:val="702" w:hRule="atLeast"/>
        </w:trPr>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double" w:sz="10" w:color="000000"/>
              <w:right w:val="single" w:sz="10" w:color="000000"/>
            </w:tcBorders>
            <w:vAlign w:val="top"/>
          </w:tcPr>
          <w:p>
            <w:pPr>
              <w:bidi w:val="0"/>
              <w:spacing w:before="0" w:after="160" w:line="259" w:lineRule="auto"/>
              <w:ind w:left="0" w:right="0" w:firstLine="0"/>
              <w:jc w:val="left"/>
            </w:pPr>
          </w:p>
        </w:tc>
        <w:tc>
          <w:tcPr>
            <w:tcW w:w="7415" w:type="dxa"/>
            <w:tcBorders>
              <w:top w:val="single" w:sz="5" w:color="ffc000"/>
              <w:left w:val="single" w:sz="10" w:color="000000"/>
              <w:bottom w:val="double" w:sz="10" w:color="000000"/>
              <w:right w:val="single" w:sz="10" w:color="000000"/>
            </w:tcBorders>
            <w:shd w:val="clear" w:fill="ffc000"/>
            <w:vAlign w:val="top"/>
          </w:tcPr>
          <w:p>
            <w:pPr>
              <w:spacing w:before="0" w:after="0" w:line="259" w:lineRule="auto"/>
              <w:ind w:left="0" w:right="0" w:firstLine="0"/>
              <w:jc w:val="left"/>
            </w:pPr>
            <w:r>
              <w:rPr>
                <w:sz w:val="14"/>
              </w:rPr>
              <w:t xml:space="preserve">The decision to not fund the acquisition of equipment should not extend to a reluctance to provide technical support for the successful implementation of this system as all other investments in DEP are dependent on credible, inclusive voter registration.</w:t>
            </w:r>
          </w:p>
        </w:tc>
      </w:tr>
      <w:tr>
        <w:trPr>
          <w:trHeight w:val="211" w:hRule="atLeast"/>
        </w:trPr>
        <w:tc>
          <w:tcPr>
            <w:tcW w:w="4105" w:type="dxa"/>
            <w:gridSpan w:val="2"/>
            <w:vMerge w:val="restart"/>
            <w:tcBorders>
              <w:top w:val="double" w:sz="10" w:color="000000"/>
              <w:left w:val="single" w:sz="10" w:color="000000"/>
              <w:bottom w:val="single" w:sz="10" w:color="000000"/>
              <w:right w:val="nil"/>
            </w:tcBorders>
            <w:vAlign w:val="top"/>
          </w:tcPr>
          <w:p>
            <w:pPr>
              <w:spacing w:before="0" w:after="0" w:line="259" w:lineRule="auto"/>
              <w:ind w:left="0" w:right="165" w:firstLine="0"/>
              <w:jc w:val="left"/>
            </w:pPr>
            <w:r>
              <w:rPr>
                <w:sz w:val="14"/>
              </w:rPr>
              <w:t xml:space="preserve">3. Low Voter Registration:  Conflict, violence and uncertainty due to the introduction of BVR disrupts planned public 	</w:t>
            </w:r>
            <w:r>
              <w:rPr>
                <w:rFonts w:cs="Calibri" w:hAnsi="Calibri" w:eastAsia="Calibri" w:ascii="Calibri"/>
                <w:b w:val="1"/>
                <w:i w:val="1"/>
                <w:sz w:val="21"/>
                <w:vertAlign w:val="superscript"/>
              </w:rPr>
              <w:t xml:space="preserve">HIGH RISK/MODERATE </w:t>
            </w:r>
            <w:r>
              <w:rPr>
                <w:sz w:val="14"/>
              </w:rPr>
              <w:t xml:space="preserve">outreach regarding voter registration 	</w:t>
            </w:r>
            <w:r>
              <w:rPr>
                <w:rFonts w:cs="Calibri" w:hAnsi="Calibri" w:eastAsia="Calibri" w:ascii="Calibri"/>
                <w:b w:val="1"/>
                <w:i w:val="1"/>
                <w:sz w:val="21"/>
                <w:vertAlign w:val="superscript"/>
              </w:rPr>
              <w:t xml:space="preserve">PROBABILITY </w:t>
            </w:r>
            <w:r>
              <w:rPr>
                <w:sz w:val="14"/>
              </w:rPr>
              <w:t xml:space="preserve">resulting in low voter turn-out.</w:t>
            </w:r>
          </w:p>
        </w:tc>
        <w:tc>
          <w:tcPr>
            <w:tcW w:w="7415" w:type="dxa"/>
            <w:tcBorders>
              <w:top w:val="double" w:sz="10" w:color="000000"/>
              <w:left w:val="nil"/>
              <w:bottom w:val="nil"/>
              <w:right w:val="single" w:sz="10" w:color="000000"/>
            </w:tcBorders>
            <w:shd w:val="clear" w:fill="ffc000"/>
            <w:vAlign w:val="top"/>
          </w:tcPr>
          <w:p>
            <w:pPr>
              <w:spacing w:before="0" w:after="0" w:line="259" w:lineRule="auto"/>
              <w:ind w:left="0" w:right="0" w:firstLine="0"/>
            </w:pPr>
            <w:r>
              <w:rPr>
                <w:sz w:val="14"/>
              </w:rPr>
              <w:t xml:space="preserve">Tanzania has a history of low voter participation.  Since participation starts with voter registration, failure during registration will set </w:t>
            </w:r>
          </w:p>
        </w:tc>
      </w:tr>
      <w:tr>
        <w:trPr>
          <w:trHeight w:val="218" w:hRule="atLeast"/>
        </w:trPr>
        <w:tc>
          <w:tcPr>
            <w:gridSpan w:val="2"/>
            <w:vMerge w:val="continue"/>
            <w:tcBorders>
              <w:top w:val="nil"/>
              <w:left w:val="single" w:sz="10" w:color="000000"/>
              <w:bottom w:val="nil"/>
              <w:right w:val="nil"/>
            </w:tcBorders>
            <w:vAlign w:val="top"/>
          </w:tcPr>
          <w:p>
            <w:pPr>
              <w:bidi w:val="0"/>
              <w:spacing w:before="0" w:after="160" w:line="259" w:lineRule="auto"/>
              <w:ind w:left="0" w:right="0" w:firstLine="0"/>
              <w:jc w:val="left"/>
            </w:pPr>
          </w:p>
        </w:tc>
        <w:tc>
          <w:tcPr>
            <w:tcW w:w="7415" w:type="dxa"/>
            <w:tcBorders>
              <w:top w:val="nil"/>
              <w:left w:val="nil"/>
              <w:bottom w:val="single" w:sz="30" w:color="ffc000"/>
              <w:right w:val="single" w:sz="10" w:color="000000"/>
            </w:tcBorders>
            <w:shd w:val="clear" w:fill="ffc000"/>
            <w:vAlign w:val="top"/>
          </w:tcPr>
          <w:p>
            <w:pPr>
              <w:spacing w:before="0" w:after="0" w:line="259" w:lineRule="auto"/>
              <w:ind w:left="0" w:right="0" w:firstLine="0"/>
              <w:jc w:val="left"/>
            </w:pPr>
            <w:r>
              <w:rPr>
                <w:sz w:val="14"/>
              </w:rPr>
              <w:t xml:space="preserve">a pattern for the referendum and subsequent elections.</w:t>
            </w:r>
          </w:p>
        </w:tc>
      </w:tr>
      <w:tr>
        <w:trPr>
          <w:trHeight w:val="108" w:hRule="atLeast"/>
        </w:trPr>
        <w:tc>
          <w:tcPr>
            <w:gridSpan w:val="2"/>
            <w:vMerge w:val="continue"/>
            <w:tcBorders>
              <w:top w:val="nil"/>
              <w:left w:val="single" w:sz="10" w:color="000000"/>
              <w:bottom w:val="nil"/>
              <w:right w:val="nil"/>
            </w:tcBorders>
            <w:vAlign w:val="top"/>
          </w:tcPr>
          <w:p>
            <w:pPr>
              <w:bidi w:val="0"/>
              <w:spacing w:before="0" w:after="160" w:line="259" w:lineRule="auto"/>
              <w:ind w:left="0" w:right="0" w:firstLine="0"/>
              <w:jc w:val="left"/>
            </w:pPr>
          </w:p>
        </w:tc>
        <w:tc>
          <w:tcPr>
            <w:tcW w:w="7415" w:type="dxa"/>
            <w:tcBorders>
              <w:top w:val="single" w:sz="30" w:color="ffc000"/>
              <w:left w:val="nil"/>
              <w:bottom w:val="nil"/>
              <w:right w:val="single" w:sz="10" w:color="000000"/>
            </w:tcBorders>
            <w:vAlign w:val="top"/>
          </w:tcPr>
          <w:p>
            <w:pPr>
              <w:bidi w:val="0"/>
              <w:spacing w:before="0" w:after="160" w:line="259" w:lineRule="auto"/>
              <w:ind w:left="0" w:right="0" w:firstLine="0"/>
              <w:jc w:val="left"/>
            </w:pPr>
          </w:p>
        </w:tc>
      </w:tr>
      <w:tr>
        <w:trPr>
          <w:trHeight w:val="509" w:hRule="atLeast"/>
        </w:trPr>
        <w:tc>
          <w:tcPr>
            <w:gridSpan w:val="2"/>
            <w:vMerge w:val="continue"/>
            <w:tcBorders>
              <w:top w:val="nil"/>
              <w:left w:val="single" w:sz="10" w:color="000000"/>
              <w:bottom w:val="single" w:sz="10" w:color="000000"/>
              <w:right w:val="nil"/>
            </w:tcBorders>
            <w:vAlign w:val="top"/>
          </w:tcPr>
          <w:p>
            <w:pPr>
              <w:bidi w:val="0"/>
              <w:spacing w:before="0" w:after="160" w:line="259" w:lineRule="auto"/>
              <w:ind w:left="0" w:right="0" w:firstLine="0"/>
              <w:jc w:val="left"/>
            </w:pPr>
          </w:p>
        </w:tc>
        <w:tc>
          <w:tcPr>
            <w:tcW w:w="7415" w:type="dxa"/>
            <w:tcBorders>
              <w:top w:val="nil"/>
              <w:left w:val="nil"/>
              <w:bottom w:val="single" w:sz="10" w:color="000000"/>
              <w:right w:val="single" w:sz="10" w:color="000000"/>
            </w:tcBorders>
            <w:shd w:val="clear" w:fill="ffc000"/>
            <w:vAlign w:val="top"/>
          </w:tcPr>
          <w:p>
            <w:pPr>
              <w:spacing w:before="0" w:after="0" w:line="259" w:lineRule="auto"/>
              <w:ind w:left="0" w:right="0" w:firstLine="0"/>
              <w:jc w:val="left"/>
            </w:pPr>
            <w:r>
              <w:rPr>
                <w:sz w:val="14"/>
              </w:rPr>
              <w:t xml:space="preserve">DEP will work with the NEC and ZEC on voter information and outreach strategies that encourage greater participation.  </w:t>
            </w:r>
          </w:p>
        </w:tc>
      </w:tr>
      <w:tr>
        <w:trPr>
          <w:trHeight w:val="207" w:hRule="atLeast"/>
        </w:trPr>
        <w:tc>
          <w:tcPr>
            <w:tcW w:w="2477" w:type="dxa"/>
            <w:vMerge w:val="restart"/>
            <w:tcBorders>
              <w:top w:val="single" w:sz="10" w:color="000000"/>
              <w:left w:val="single" w:sz="10" w:color="000000"/>
              <w:bottom w:val="nil"/>
              <w:right w:val="single" w:sz="10" w:color="000000"/>
            </w:tcBorders>
            <w:vAlign w:val="bottom"/>
          </w:tcPr>
          <w:p>
            <w:pPr>
              <w:spacing w:before="0" w:after="0" w:line="259" w:lineRule="auto"/>
              <w:ind w:left="0" w:right="0" w:firstLine="0"/>
              <w:jc w:val="left"/>
            </w:pPr>
            <w:r>
              <w:rPr>
                <w:sz w:val="14"/>
              </w:rPr>
              <w:t xml:space="preserve">4.</w:t>
            </w:r>
            <w:r>
              <w:rPr>
                <w:sz w:val="14"/>
              </w:rPr>
              <w:t xml:space="preserve">       Election Funding:  Based on their experience with DDTP and ESP, beneficiary partners may prefer to give priority to DEP acquisition of big ticket equipment procurement.</w:t>
            </w:r>
          </w:p>
        </w:tc>
        <w:tc>
          <w:tcPr>
            <w:tcW w:w="1627" w:type="dxa"/>
            <w:vMerge w:val="restart"/>
            <w:tcBorders>
              <w:top w:val="single" w:sz="10" w:color="000000"/>
              <w:left w:val="single" w:sz="10" w:color="000000"/>
              <w:bottom w:val="nil"/>
              <w:right w:val="single" w:sz="10" w:color="000000"/>
            </w:tcBorders>
            <w:vAlign w:val="bottom"/>
          </w:tcPr>
          <w:p>
            <w:pPr>
              <w:spacing w:before="0" w:after="0" w:line="259" w:lineRule="auto"/>
              <w:ind w:left="0" w:right="40" w:firstLine="0"/>
              <w:jc w:val="center"/>
            </w:pPr>
            <w:r>
              <w:rPr>
                <w:rFonts w:cs="Calibri" w:hAnsi="Calibri" w:eastAsia="Calibri" w:ascii="Calibri"/>
                <w:b w:val="1"/>
                <w:i w:val="1"/>
                <w:sz w:val="14"/>
              </w:rPr>
              <w:t xml:space="preserve">MODERATE </w:t>
            </w:r>
          </w:p>
          <w:p>
            <w:pPr>
              <w:spacing w:before="0" w:after="0" w:line="259" w:lineRule="auto"/>
              <w:ind w:left="0" w:right="40" w:firstLine="0"/>
              <w:jc w:val="center"/>
            </w:pPr>
            <w:r>
              <w:rPr>
                <w:rFonts w:cs="Calibri" w:hAnsi="Calibri" w:eastAsia="Calibri" w:ascii="Calibri"/>
                <w:b w:val="1"/>
                <w:i w:val="1"/>
                <w:sz w:val="14"/>
              </w:rPr>
              <w:t xml:space="preserve">RISK/MODERATE </w:t>
            </w:r>
          </w:p>
          <w:p>
            <w:pPr>
              <w:spacing w:before="0" w:after="0" w:line="259" w:lineRule="auto"/>
              <w:ind w:left="0" w:right="40" w:firstLine="0"/>
              <w:jc w:val="center"/>
            </w:pPr>
            <w:r>
              <w:rPr>
                <w:rFonts w:cs="Calibri" w:hAnsi="Calibri" w:eastAsia="Calibri" w:ascii="Calibri"/>
                <w:b w:val="1"/>
                <w:i w:val="1"/>
                <w:sz w:val="14"/>
              </w:rPr>
              <w:t xml:space="preserve">PROBABILITY</w:t>
            </w:r>
          </w:p>
        </w:tc>
        <w:tc>
          <w:tcPr>
            <w:tcW w:w="7415" w:type="dxa"/>
            <w:tcBorders>
              <w:top w:val="single" w:sz="10" w:color="000000"/>
              <w:left w:val="single" w:sz="10" w:color="000000"/>
              <w:bottom w:val="nil"/>
              <w:right w:val="single" w:sz="10" w:color="000000"/>
            </w:tcBorders>
            <w:shd w:val="clear" w:fill="ffc000"/>
            <w:vAlign w:val="top"/>
          </w:tcPr>
          <w:p>
            <w:pPr>
              <w:spacing w:before="0" w:after="0" w:line="259" w:lineRule="auto"/>
              <w:ind w:left="0" w:right="0" w:firstLine="0"/>
            </w:pPr>
            <w:r>
              <w:rPr>
                <w:sz w:val="14"/>
              </w:rPr>
              <w:t xml:space="preserve">Clarity on project goals and objectives, as well as on the structural and conceptual differences between DEP and predecessor project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will be a priority throughout implementation.  It is essential that beneficiary partners understand that DEP will not fund budget </w:t>
            </w:r>
          </w:p>
        </w:tc>
      </w:tr>
      <w:tr>
        <w:trPr>
          <w:trHeight w:val="24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36" w:color="ffc000"/>
              <w:right w:val="single" w:sz="10" w:color="000000"/>
            </w:tcBorders>
            <w:shd w:val="clear" w:fill="ffc000"/>
            <w:vAlign w:val="top"/>
          </w:tcPr>
          <w:p>
            <w:pPr>
              <w:spacing w:before="0" w:after="0" w:line="259" w:lineRule="auto"/>
              <w:ind w:left="0" w:right="0" w:firstLine="0"/>
              <w:jc w:val="left"/>
            </w:pPr>
            <w:r>
              <w:rPr>
                <w:sz w:val="14"/>
              </w:rPr>
              <w:t xml:space="preserve">shortfalls.</w:t>
            </w:r>
          </w:p>
        </w:tc>
      </w:tr>
      <w:tr>
        <w:trPr>
          <w:trHeight w:val="247"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36" w:color="ffc000"/>
              <w:left w:val="single" w:sz="10" w:color="000000"/>
              <w:bottom w:val="nil"/>
              <w:right w:val="single" w:sz="10" w:color="000000"/>
            </w:tcBorders>
            <w:shd w:val="clear" w:fill="ffc000"/>
            <w:vAlign w:val="top"/>
          </w:tcPr>
          <w:p>
            <w:pPr>
              <w:bidi w:val="0"/>
              <w:spacing w:before="0" w:after="160" w:line="259" w:lineRule="auto"/>
              <w:ind w:left="0" w:right="0" w:firstLine="0"/>
              <w:jc w:val="left"/>
            </w:pP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DEP will work with beneficiary partners -- especially EMBs-- to strengthen their ability to plan and budget more appropriately with </w:t>
            </w:r>
          </w:p>
        </w:tc>
      </w:tr>
      <w:tr>
        <w:trPr>
          <w:trHeight w:val="221"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single" w:sz="44" w:color="ffc000"/>
              <w:right w:val="single" w:sz="10" w:color="000000"/>
            </w:tcBorders>
            <w:shd w:val="clear" w:fill="ffc000"/>
            <w:vAlign w:val="top"/>
          </w:tcPr>
          <w:p>
            <w:pPr>
              <w:spacing w:before="0" w:after="0" w:line="259" w:lineRule="auto"/>
              <w:ind w:left="0" w:right="4" w:firstLine="0"/>
              <w:jc w:val="left"/>
            </w:pPr>
            <w:r>
              <w:rPr>
                <w:sz w:val="14"/>
              </w:rPr>
              <w:t xml:space="preserve">an eye on value for money.  PSC will support these efforts through interactions with the GOT to ensure proper and timely funding for electoral calendar events.</w:t>
            </w:r>
          </w:p>
        </w:tc>
      </w:tr>
      <w:tr>
        <w:trPr>
          <w:trHeight w:val="125"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single" w:sz="44" w:color="ffc000"/>
              <w:left w:val="single" w:sz="10" w:color="000000"/>
              <w:bottom w:val="nil"/>
              <w:right w:val="single" w:sz="10" w:color="000000"/>
            </w:tcBorders>
            <w:vAlign w:val="top"/>
          </w:tcPr>
          <w:p>
            <w:pPr>
              <w:bidi w:val="0"/>
              <w:spacing w:before="0" w:after="160" w:line="259" w:lineRule="auto"/>
              <w:ind w:left="0" w:right="0" w:firstLine="0"/>
              <w:jc w:val="left"/>
            </w:pPr>
          </w:p>
        </w:tc>
      </w:tr>
      <w:tr>
        <w:trPr>
          <w:trHeight w:val="182"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The Legislatures Support Project (LSP) will work with Parliament to assist them in better understanding electoral process from a </w:t>
            </w:r>
          </w:p>
        </w:tc>
      </w:tr>
      <w:tr>
        <w:trPr>
          <w:trHeight w:val="1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budgetary and planning perspective.  DEP will provide support for more effective communications between the NEC and </w:t>
            </w:r>
          </w:p>
        </w:tc>
      </w:tr>
      <w:tr>
        <w:trPr>
          <w:trHeight w:val="280" w:hRule="atLeast"/>
        </w:trPr>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vMerge w:val="continue"/>
            <w:tcBorders>
              <w:top w:val="nil"/>
              <w:left w:val="single" w:sz="10" w:color="000000"/>
              <w:bottom w:val="nil"/>
              <w:right w:val="single" w:sz="10" w:color="000000"/>
            </w:tcBorders>
            <w:vAlign w:val="top"/>
          </w:tcPr>
          <w:p>
            <w:pPr>
              <w:bidi w:val="0"/>
              <w:spacing w:before="0" w:after="160" w:line="259" w:lineRule="auto"/>
              <w:ind w:left="0" w:right="0" w:firstLine="0"/>
              <w:jc w:val="left"/>
            </w:pPr>
          </w:p>
        </w:tc>
        <w:tc>
          <w:tcPr>
            <w:tcW w:w="7415" w:type="dxa"/>
            <w:tcBorders>
              <w:top w:val="nil"/>
              <w:left w:val="single" w:sz="10" w:color="000000"/>
              <w:bottom w:val="nil"/>
              <w:right w:val="single" w:sz="10" w:color="000000"/>
            </w:tcBorders>
            <w:shd w:val="clear" w:fill="ffc000"/>
            <w:vAlign w:val="top"/>
          </w:tcPr>
          <w:p>
            <w:pPr>
              <w:spacing w:before="0" w:after="0" w:line="259" w:lineRule="auto"/>
              <w:ind w:left="0" w:right="0" w:firstLine="0"/>
              <w:jc w:val="left"/>
            </w:pPr>
            <w:r>
              <w:rPr>
                <w:sz w:val="14"/>
              </w:rPr>
              <w:t xml:space="preserve">Government and the NEC and Parliament regarding such questions.</w:t>
            </w:r>
          </w:p>
        </w:tc>
      </w:tr>
    </w:tbl>
    <w:p>
      <w:pPr>
        <w:sectPr>
          <w:headerReference w:type="even" r:id="rId71"/>
          <w:headerReference w:type="default" r:id="rId69"/>
          <w:headerReference w:type="first" r:id="rId67"/>
          <w:footerReference w:type="even" r:id="rId72"/>
          <w:footerReference w:type="default" r:id="rId70"/>
          <w:footerReference w:type="first" r:id="rId68"/>
          <w:pgSz w:w="16836" w:h="11904" w:orient="landscape"/>
          <w:pgMar w:header="462" w:footer="467" w:left="1440" w:top="1090" w:right="1440" w:bottom="924"/>
          <w:pgNumType w:start="1" w:fmt="decimal"/>
          <w:cols/>
        </w:sectPr>
      </w:pPr>
    </w:p>
    <w:p>
      <w:pPr>
        <w:spacing w:before="0" w:after="177" w:line="259" w:lineRule="auto"/>
        <w:ind w:left="1584" w:right="0" w:firstLine="0"/>
        <w:jc w:val="left"/>
      </w:pPr>
      <w:r>
        <w:rPr>
          <w:rFonts w:cs="Calibri" w:hAnsi="Calibri" w:eastAsia="Calibri" w:ascii="Calibri"/>
          <w:b w:val="1"/>
          <w:u w:val="single" w:color="000000"/>
        </w:rPr>
        <w:t xml:space="preserve">NOTE TO FILE: ACTION UNDER THE CONTRIBUTION AGREEMENT</w:t>
      </w:r>
      <w:r>
        <w:rPr>
          <w:rFonts w:cs="Calibri" w:hAnsi="Calibri" w:eastAsia="Calibri" w:ascii="Calibri"/>
          <w:b w:val="1"/>
        </w:rPr>
        <w:t xml:space="preserve"> </w:t>
      </w:r>
    </w:p>
    <w:p>
      <w:pPr>
        <w:spacing w:before="0" w:after="175" w:line="259" w:lineRule="auto"/>
        <w:ind w:left="0" w:right="950" w:firstLine="0"/>
        <w:jc w:val="center"/>
      </w:pPr>
      <w:r>
        <w:rPr>
          <w:rFonts w:cs="Calibri" w:hAnsi="Calibri" w:eastAsia="Calibri" w:ascii="Calibri"/>
          <w:b w:val="1"/>
        </w:rPr>
        <w:t xml:space="preserve"> </w:t>
      </w:r>
    </w:p>
    <w:p>
      <w:pPr>
        <w:spacing w:before="0" w:after="228" w:line="249" w:lineRule="auto"/>
        <w:ind w:left="-5" w:right="995" w:hanging="10"/>
      </w:pPr>
      <w:r>
        <w:rPr>
          <w:rFonts w:cs="Calibri" w:hAnsi="Calibri" w:eastAsia="Calibri" w:ascii="Calibri"/>
        </w:rPr>
        <w:t xml:space="preserve">The European Union delegation to Tanzania (EU) and United Nations Development Programme (UNDP) contractual agreement in support of the Democratic Empowerment Project (DEP) will be effective from 1</w:t>
      </w:r>
      <w:r>
        <w:rPr>
          <w:rFonts w:cs="Calibri" w:hAnsi="Calibri" w:eastAsia="Calibri" w:ascii="Calibri"/>
          <w:vertAlign w:val="superscript"/>
        </w:rPr>
        <w:t xml:space="preserve">st</w:t>
      </w:r>
      <w:r>
        <w:rPr>
          <w:rFonts w:cs="Calibri" w:hAnsi="Calibri" w:eastAsia="Calibri" w:ascii="Calibri"/>
        </w:rPr>
        <w:t xml:space="preserve"> of January 2014 through to the end of the project in June 2016.  </w:t>
      </w:r>
    </w:p>
    <w:p>
      <w:pPr>
        <w:spacing w:before="0" w:after="189" w:line="249" w:lineRule="auto"/>
        <w:ind w:left="-5" w:right="993" w:hanging="10"/>
      </w:pPr>
      <w:r>
        <w:rPr>
          <w:rFonts w:cs="Calibri" w:hAnsi="Calibri" w:eastAsia="Calibri" w:ascii="Calibri"/>
        </w:rPr>
        <w:t xml:space="preserve">Referring to the signed project document, the overall project implementation had started 1</w:t>
      </w:r>
      <w:r>
        <w:rPr>
          <w:rFonts w:cs="Calibri" w:hAnsi="Calibri" w:eastAsia="Calibri" w:ascii="Calibri"/>
          <w:vertAlign w:val="superscript"/>
        </w:rPr>
        <w:t xml:space="preserve">st</w:t>
      </w:r>
      <w:r>
        <w:rPr>
          <w:rFonts w:cs="Calibri" w:hAnsi="Calibri" w:eastAsia="Calibri" w:ascii="Calibri"/>
        </w:rPr>
        <w:t xml:space="preserve"> of January 2013. Progress reports have been prepared and shared through the project’s management structures i.e. the Technical Committees and the Steering Committees in which the EU is a participant. The EU contribution will be used for costs incurred as from the start date of the implementation period of the EU-UNDP Contribution Agreement throughout its duration defined in the special conditions, Articles 2.2 &amp; 2.3. </w:t>
      </w:r>
    </w:p>
    <w:p>
      <w:pPr>
        <w:spacing w:before="0" w:after="189" w:line="249" w:lineRule="auto"/>
        <w:ind w:left="-5" w:right="995" w:hanging="10"/>
      </w:pPr>
      <w:r>
        <w:rPr>
          <w:rFonts w:cs="Calibri" w:hAnsi="Calibri" w:eastAsia="Calibri" w:ascii="Calibri"/>
        </w:rPr>
        <w:t xml:space="preserve">Below are the costs that are ineligible for the EU given that they were incurred in 2013 and henceforth have not be included in the project’s summary budget which is annex iii (budget for the action) of the contribution agreement.  </w:t>
      </w:r>
    </w:p>
    <w:p>
      <w:pPr>
        <w:spacing w:before="0" w:after="114" w:line="259" w:lineRule="auto"/>
        <w:ind w:left="0" w:right="0" w:firstLine="0"/>
        <w:jc w:val="left"/>
      </w:pPr>
      <w:r>
        <w:rPr>
          <w:rFonts w:cs="Calibri" w:hAnsi="Calibri" w:eastAsia="Calibri" w:ascii="Calibri"/>
        </w:rPr>
        <w:t xml:space="preserve"> </w:t>
      </w:r>
    </w:p>
    <w:p>
      <w:pPr>
        <w:spacing w:before="0" w:after="0" w:line="259" w:lineRule="auto"/>
        <w:ind w:left="69" w:right="0" w:firstLine="0"/>
        <w:jc w:val="left"/>
      </w:pPr>
      <w:r>
        <w:rPr>
          <w:rFonts w:cs="Calibri" w:hAnsi="Calibri" w:eastAsia="Calibri" w:ascii="Calibri"/>
          <w:b w:val="1"/>
          <w:sz w:val="19"/>
        </w:rPr>
        <w:t xml:space="preserve">Summary of Project Expenditure January - December 2013 </w:t>
      </w:r>
      <w:r>
        <w:rPr>
          <w:rFonts w:cs="Calibri" w:hAnsi="Calibri" w:eastAsia="Calibri" w:ascii="Calibri"/>
          <w:sz w:val="22"/>
        </w:rPr>
        <w:drawing>
          <wp:inline distT="0" distB="0" distL="0" distR="0">
            <wp:extent cx="54" cy="170935"/>
            <wp:docPr id="152691" name="Group 152691"/>
            <wp:cNvGraphicFramePr/>
            <a:graphic>
              <a:graphicData uri="http://schemas.microsoft.com/office/word/2010/wordprocessingGroup">
                <wpg:wgp>
                  <wpg:cNvGrpSpPr/>
                  <wpg:grpSpPr>
                    <a:xfrm>
                      <a:off x="0" y="0"/>
                      <a:ext cx="54" cy="170935"/>
                      <a:chOff x="0" y="0"/>
                      <a:chExt cx="54" cy="170935"/>
                    </a:xfrm>
                  </wpg:grpSpPr>
                  <wps:wsp>
                    <wps:cNvPr id="172466" name="Shape 172466"/>
                    <wps:cNvSpPr/>
                    <wps:spPr>
                      <a:xfrm>
                        <a:off x="3" y="0"/>
                        <a:ext cx="9144" cy="9144"/>
                      </a:xfrm>
                      <a:custGeom>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d0d6e4"/>
                      </a:fillRef>
                      <a:effectRef idx="0"/>
                      <a:fontRef idx="none"/>
                    </wps:style>
                    <wps:bodyPr/>
                  </wps:wsp>
                  <wps:wsp>
                    <wps:cNvPr id="13388" name="Shape 13388"/>
                    <wps:cNvSpPr/>
                    <wps:spPr>
                      <a:xfrm>
                        <a:off x="0" y="162794"/>
                        <a:ext cx="54" cy="0"/>
                      </a:xfrm>
                      <a:custGeom>
                        <a:pathLst>
                          <a:path w="54" h="0">
                            <a:moveTo>
                              <a:pt x="54" y="0"/>
                            </a:moveTo>
                            <a:lnTo>
                              <a:pt x="0" y="0"/>
                            </a:lnTo>
                          </a:path>
                        </a:pathLst>
                      </a:custGeom>
                      <a:ln w="0" cap="sq">
                        <a:miter lim="127000"/>
                      </a:ln>
                    </wps:spPr>
                    <wps:style>
                      <a:lnRef idx="1">
                        <a:srgbClr val="d0d6e4"/>
                      </a:lnRef>
                      <a:fillRef idx="0">
                        <a:srgbClr val="000000">
                          <a:alpha val="0"/>
                        </a:srgbClr>
                      </a:fillRef>
                      <a:effectRef idx="0"/>
                      <a:fontRef idx="none"/>
                    </wps:style>
                    <wps:bodyPr/>
                  </wps:wsp>
                  <wps:wsp>
                    <wps:cNvPr id="172467" name="Shape 172467"/>
                    <wps:cNvSpPr/>
                    <wps:spPr>
                      <a:xfrm>
                        <a:off x="3" y="162794"/>
                        <a:ext cx="9144" cy="9144"/>
                      </a:xfrm>
                      <a:custGeom>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d0d6e4"/>
                      </a:fillRef>
                      <a:effectRef idx="0"/>
                      <a:fontRef idx="none"/>
                    </wps:style>
                    <wps:bodyPr/>
                  </wps:wsp>
                </wpg:wgp>
              </a:graphicData>
            </a:graphic>
          </wp:inline>
        </w:drawing>
      </w:r>
    </w:p>
    <w:tbl>
      <w:tblPr>
        <w:tblStyle w:val="TableGrid"/>
        <w:tblW w:w="9919" w:type="dxa"/>
        <w:tblInd w:w="38" w:type="dxa"/>
        <w:tblCellMar>
          <w:top w:w="25" w:type="dxa"/>
          <w:left w:w="31" w:type="dxa"/>
          <w:bottom w:w="0" w:type="dxa"/>
          <w:right w:w="0" w:type="dxa"/>
        </w:tblCellMar>
      </w:tblPr>
      <w:tblGrid>
        <w:gridCol w:w="3724"/>
        <w:gridCol w:w="1337"/>
        <w:gridCol w:w="1388"/>
        <w:gridCol w:w="1708"/>
        <w:gridCol w:w="1763"/>
      </w:tblGrid>
      <w:tr>
        <w:trPr>
          <w:trHeight w:val="258" w:hRule="atLeast"/>
        </w:trPr>
        <w:tc>
          <w:tcPr>
            <w:tcW w:w="3724" w:type="dxa"/>
            <w:tcBorders>
              <w:top w:val="single" w:sz="6" w:color="000000"/>
              <w:left w:val="single" w:sz="6" w:color="000000"/>
              <w:bottom w:val="single" w:sz="6" w:color="000000"/>
              <w:right w:val="single" w:sz="6" w:color="000000"/>
            </w:tcBorders>
            <w:shd w:val="clear" w:fill="d8d8d9"/>
            <w:vAlign w:val="top"/>
          </w:tcPr>
          <w:p>
            <w:pPr>
              <w:bidi w:val="0"/>
              <w:spacing w:before="0" w:after="160" w:line="259" w:lineRule="auto"/>
              <w:ind w:left="0" w:right="0" w:firstLine="0"/>
              <w:jc w:val="left"/>
            </w:pPr>
          </w:p>
        </w:tc>
        <w:tc>
          <w:tcPr>
            <w:tcW w:w="1337" w:type="dxa"/>
            <w:tcBorders>
              <w:top w:val="single" w:sz="6" w:color="000000"/>
              <w:left w:val="single" w:sz="6" w:color="000000"/>
              <w:bottom w:val="single" w:sz="6" w:color="000000"/>
              <w:right w:val="single" w:sz="5" w:color="000000"/>
            </w:tcBorders>
            <w:shd w:val="clear" w:fill="d8d8d9"/>
            <w:vAlign w:val="top"/>
          </w:tcPr>
          <w:p>
            <w:pPr>
              <w:spacing w:before="0" w:after="0" w:line="259" w:lineRule="auto"/>
              <w:ind w:left="105" w:right="0" w:firstLine="0"/>
              <w:jc w:val="left"/>
            </w:pPr>
            <w:r>
              <w:rPr>
                <w:rFonts w:cs="Calibri" w:hAnsi="Calibri" w:eastAsia="Calibri" w:ascii="Calibri"/>
                <w:b w:val="1"/>
                <w:sz w:val="19"/>
              </w:rPr>
              <w:t xml:space="preserve">Budget (US$) </w:t>
            </w:r>
          </w:p>
        </w:tc>
        <w:tc>
          <w:tcPr>
            <w:tcW w:w="1388" w:type="dxa"/>
            <w:tcBorders>
              <w:top w:val="single" w:sz="6" w:color="000000"/>
              <w:left w:val="single" w:sz="5" w:color="000000"/>
              <w:bottom w:val="single" w:sz="6" w:color="000000"/>
              <w:right w:val="single" w:sz="5" w:color="000000"/>
            </w:tcBorders>
            <w:shd w:val="clear" w:fill="d8d8d9"/>
            <w:vAlign w:val="top"/>
          </w:tcPr>
          <w:p>
            <w:pPr>
              <w:spacing w:before="0" w:after="0" w:line="259" w:lineRule="auto"/>
              <w:ind w:left="65" w:right="0" w:firstLine="0"/>
              <w:jc w:val="left"/>
            </w:pPr>
            <w:r>
              <w:rPr>
                <w:rFonts w:cs="Calibri" w:hAnsi="Calibri" w:eastAsia="Calibri" w:ascii="Calibri"/>
                <w:b w:val="1"/>
                <w:sz w:val="19"/>
              </w:rPr>
              <w:t xml:space="preserve">Budget (EURO) </w:t>
            </w:r>
          </w:p>
        </w:tc>
        <w:tc>
          <w:tcPr>
            <w:tcW w:w="1708" w:type="dxa"/>
            <w:tcBorders>
              <w:top w:val="single" w:sz="6" w:color="000000"/>
              <w:left w:val="single" w:sz="5" w:color="000000"/>
              <w:bottom w:val="single" w:sz="6" w:color="000000"/>
              <w:right w:val="single" w:sz="6" w:color="000000"/>
            </w:tcBorders>
            <w:shd w:val="clear" w:fill="d8d8d9"/>
            <w:vAlign w:val="top"/>
          </w:tcPr>
          <w:p>
            <w:pPr>
              <w:spacing w:before="0" w:after="0" w:line="259" w:lineRule="auto"/>
              <w:ind w:left="78" w:right="0" w:firstLine="0"/>
              <w:jc w:val="left"/>
            </w:pPr>
            <w:r>
              <w:rPr>
                <w:rFonts w:cs="Calibri" w:hAnsi="Calibri" w:eastAsia="Calibri" w:ascii="Calibri"/>
                <w:b w:val="1"/>
                <w:sz w:val="19"/>
              </w:rPr>
              <w:t xml:space="preserve">Expenditure (US$) </w:t>
            </w:r>
          </w:p>
        </w:tc>
        <w:tc>
          <w:tcPr>
            <w:tcW w:w="1763" w:type="dxa"/>
            <w:tcBorders>
              <w:top w:val="single" w:sz="6" w:color="000000"/>
              <w:left w:val="single" w:sz="6" w:color="000000"/>
              <w:bottom w:val="single" w:sz="6" w:color="000000"/>
              <w:right w:val="single" w:sz="5" w:color="000000"/>
            </w:tcBorders>
            <w:shd w:val="clear" w:fill="d8d8d9"/>
            <w:vAlign w:val="top"/>
          </w:tcPr>
          <w:p>
            <w:pPr>
              <w:spacing w:before="0" w:after="0" w:line="259" w:lineRule="auto"/>
              <w:ind w:left="41" w:right="0" w:firstLine="0"/>
            </w:pPr>
            <w:r>
              <w:rPr>
                <w:rFonts w:cs="Calibri" w:hAnsi="Calibri" w:eastAsia="Calibri" w:ascii="Calibri"/>
                <w:b w:val="1"/>
                <w:sz w:val="19"/>
              </w:rPr>
              <w:t xml:space="preserve">Expenditure (EURO) </w:t>
            </w:r>
          </w:p>
        </w:tc>
      </w:tr>
      <w:tr>
        <w:trPr>
          <w:trHeight w:val="255"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1. Legal &amp; Institutional Reform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9" w:firstLine="0"/>
              <w:jc w:val="center"/>
            </w:pPr>
            <w:r>
              <w:rPr>
                <w:rFonts w:cs="Calibri" w:hAnsi="Calibri" w:eastAsia="Calibri" w:ascii="Calibri"/>
                <w:sz w:val="19"/>
              </w:rPr>
              <w:t xml:space="preserve">346,238</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261,410 </w:t>
            </w:r>
          </w:p>
        </w:tc>
        <w:tc>
          <w:tcPr>
            <w:tcW w:w="1708" w:type="dxa"/>
            <w:tcBorders>
              <w:top w:val="single" w:sz="6" w:color="000000"/>
              <w:left w:val="single" w:sz="5" w:color="000000"/>
              <w:bottom w:val="single" w:sz="6" w:color="000000"/>
              <w:right w:val="single" w:sz="6" w:color="000000"/>
            </w:tcBorders>
            <w:vAlign w:val="top"/>
          </w:tcPr>
          <w:p>
            <w:pPr>
              <w:spacing w:before="0" w:after="0" w:line="259" w:lineRule="auto"/>
              <w:ind w:left="0" w:right="22" w:firstLine="0"/>
              <w:jc w:val="center"/>
            </w:pPr>
            <w:r>
              <w:rPr>
                <w:rFonts w:cs="Calibri" w:hAnsi="Calibri" w:eastAsia="Calibri" w:ascii="Calibri"/>
                <w:sz w:val="19"/>
              </w:rPr>
              <w:t xml:space="preserve">271,314</w:t>
            </w:r>
          </w:p>
        </w:tc>
        <w:tc>
          <w:tcPr>
            <w:tcW w:w="1763" w:type="dxa"/>
            <w:tcBorders>
              <w:top w:val="single" w:sz="6" w:color="000000"/>
              <w:left w:val="single" w:sz="6" w:color="000000"/>
              <w:bottom w:val="single" w:sz="6" w:color="000000"/>
              <w:right w:val="single" w:sz="5" w:color="000000"/>
            </w:tcBorders>
            <w:vAlign w:val="top"/>
          </w:tcPr>
          <w:p>
            <w:pPr>
              <w:spacing w:before="0" w:after="0" w:line="259" w:lineRule="auto"/>
              <w:ind w:left="0" w:right="23" w:firstLine="0"/>
              <w:jc w:val="center"/>
            </w:pPr>
            <w:r>
              <w:rPr>
                <w:rFonts w:cs="Calibri" w:hAnsi="Calibri" w:eastAsia="Calibri" w:ascii="Calibri"/>
                <w:sz w:val="19"/>
              </w:rPr>
              <w:t xml:space="preserve">204,842</w:t>
            </w: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2. EMB Integrity and Management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22" w:firstLine="0"/>
              <w:jc w:val="center"/>
            </w:pPr>
            <w:r>
              <w:rPr>
                <w:rFonts w:cs="Calibri" w:hAnsi="Calibri" w:eastAsia="Calibri" w:ascii="Calibri"/>
                <w:sz w:val="19"/>
              </w:rPr>
              <w:t xml:space="preserve">2,764,720</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27" w:right="0" w:firstLine="0"/>
            </w:pPr>
            <w:r>
              <w:rPr>
                <w:rFonts w:cs="Calibri" w:hAnsi="Calibri" w:eastAsia="Calibri" w:ascii="Calibri"/>
                <w:sz w:val="19"/>
              </w:rPr>
              <w:t xml:space="preserve">              2,087,364 </w:t>
            </w:r>
          </w:p>
        </w:tc>
        <w:tc>
          <w:tcPr>
            <w:tcW w:w="1708" w:type="dxa"/>
            <w:tcBorders>
              <w:top w:val="single" w:sz="6" w:color="000000"/>
              <w:left w:val="single" w:sz="5" w:color="000000"/>
              <w:bottom w:val="single" w:sz="6" w:color="000000"/>
              <w:right w:val="single" w:sz="6" w:color="000000"/>
            </w:tcBorders>
            <w:vAlign w:val="top"/>
          </w:tcPr>
          <w:p>
            <w:pPr>
              <w:spacing w:before="0" w:after="0" w:line="259" w:lineRule="auto"/>
              <w:ind w:left="0" w:right="22" w:firstLine="0"/>
              <w:jc w:val="center"/>
            </w:pPr>
            <w:r>
              <w:rPr>
                <w:rFonts w:cs="Calibri" w:hAnsi="Calibri" w:eastAsia="Calibri" w:ascii="Calibri"/>
                <w:sz w:val="19"/>
              </w:rPr>
              <w:t xml:space="preserve">383,769</w:t>
            </w:r>
          </w:p>
        </w:tc>
        <w:tc>
          <w:tcPr>
            <w:tcW w:w="1763" w:type="dxa"/>
            <w:tcBorders>
              <w:top w:val="single" w:sz="6" w:color="000000"/>
              <w:left w:val="single" w:sz="6" w:color="000000"/>
              <w:bottom w:val="single" w:sz="6" w:color="000000"/>
              <w:right w:val="single" w:sz="5" w:color="000000"/>
            </w:tcBorders>
            <w:vAlign w:val="top"/>
          </w:tcPr>
          <w:p>
            <w:pPr>
              <w:spacing w:before="0" w:after="0" w:line="259" w:lineRule="auto"/>
              <w:ind w:left="0" w:right="24" w:firstLine="0"/>
              <w:jc w:val="center"/>
            </w:pPr>
            <w:r>
              <w:rPr>
                <w:rFonts w:cs="Calibri" w:hAnsi="Calibri" w:eastAsia="Calibri" w:ascii="Calibri"/>
                <w:sz w:val="19"/>
              </w:rPr>
              <w:t xml:space="preserve">289,746</w:t>
            </w: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3. Inclusive Participation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9" w:firstLine="0"/>
              <w:jc w:val="center"/>
            </w:pPr>
            <w:r>
              <w:rPr>
                <w:rFonts w:cs="Calibri" w:hAnsi="Calibri" w:eastAsia="Calibri" w:ascii="Calibri"/>
                <w:sz w:val="19"/>
              </w:rPr>
              <w:t xml:space="preserve">496,399</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374,781 </w:t>
            </w:r>
          </w:p>
        </w:tc>
        <w:tc>
          <w:tcPr>
            <w:tcW w:w="1708" w:type="dxa"/>
            <w:tcBorders>
              <w:top w:val="single" w:sz="6" w:color="000000"/>
              <w:left w:val="single" w:sz="5" w:color="000000"/>
              <w:bottom w:val="single" w:sz="6" w:color="000000"/>
              <w:right w:val="single" w:sz="6" w:color="000000"/>
            </w:tcBorders>
            <w:vAlign w:val="top"/>
          </w:tcPr>
          <w:p>
            <w:pPr>
              <w:spacing w:before="0" w:after="0" w:line="259" w:lineRule="auto"/>
              <w:ind w:left="0" w:right="22" w:firstLine="0"/>
              <w:jc w:val="center"/>
            </w:pPr>
            <w:r>
              <w:rPr>
                <w:rFonts w:cs="Calibri" w:hAnsi="Calibri" w:eastAsia="Calibri" w:ascii="Calibri"/>
                <w:sz w:val="19"/>
              </w:rPr>
              <w:t xml:space="preserve">401,267</w:t>
            </w:r>
          </w:p>
        </w:tc>
        <w:tc>
          <w:tcPr>
            <w:tcW w:w="1763" w:type="dxa"/>
            <w:tcBorders>
              <w:top w:val="single" w:sz="6" w:color="000000"/>
              <w:left w:val="single" w:sz="6" w:color="000000"/>
              <w:bottom w:val="single" w:sz="6" w:color="000000"/>
              <w:right w:val="single" w:sz="5" w:color="000000"/>
            </w:tcBorders>
            <w:vAlign w:val="top"/>
          </w:tcPr>
          <w:p>
            <w:pPr>
              <w:spacing w:before="0" w:after="0" w:line="259" w:lineRule="auto"/>
              <w:ind w:left="0" w:right="23" w:firstLine="0"/>
              <w:jc w:val="center"/>
            </w:pPr>
            <w:r>
              <w:rPr>
                <w:rFonts w:cs="Calibri" w:hAnsi="Calibri" w:eastAsia="Calibri" w:ascii="Calibri"/>
                <w:sz w:val="19"/>
              </w:rPr>
              <w:t xml:space="preserve">302,957</w:t>
            </w: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4. National Peace Infrastructure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9" w:firstLine="0"/>
              <w:jc w:val="center"/>
            </w:pPr>
            <w:r>
              <w:rPr>
                <w:rFonts w:cs="Calibri" w:hAnsi="Calibri" w:eastAsia="Calibri" w:ascii="Calibri"/>
                <w:sz w:val="19"/>
              </w:rPr>
              <w:t xml:space="preserve">615,841</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464,960 </w:t>
            </w:r>
          </w:p>
        </w:tc>
        <w:tc>
          <w:tcPr>
            <w:tcW w:w="1708" w:type="dxa"/>
            <w:tcBorders>
              <w:top w:val="single" w:sz="6" w:color="000000"/>
              <w:left w:val="single" w:sz="5" w:color="000000"/>
              <w:bottom w:val="single" w:sz="6" w:color="000000"/>
              <w:right w:val="single" w:sz="6" w:color="000000"/>
            </w:tcBorders>
            <w:vAlign w:val="top"/>
          </w:tcPr>
          <w:p>
            <w:pPr>
              <w:spacing w:before="0" w:after="0" w:line="259" w:lineRule="auto"/>
              <w:ind w:left="0" w:right="10" w:firstLine="0"/>
              <w:jc w:val="center"/>
            </w:pPr>
            <w:r>
              <w:rPr>
                <w:rFonts w:cs="Calibri" w:hAnsi="Calibri" w:eastAsia="Calibri" w:ascii="Calibri"/>
                <w:sz w:val="19"/>
              </w:rPr>
              <w:t xml:space="preserve">0</w:t>
            </w:r>
          </w:p>
        </w:tc>
        <w:tc>
          <w:tcPr>
            <w:tcW w:w="1763" w:type="dxa"/>
            <w:tcBorders>
              <w:top w:val="single" w:sz="6" w:color="000000"/>
              <w:left w:val="single" w:sz="6" w:color="000000"/>
              <w:bottom w:val="single" w:sz="6" w:color="000000"/>
              <w:right w:val="single" w:sz="5" w:color="000000"/>
            </w:tcBorders>
            <w:vAlign w:val="top"/>
          </w:tcPr>
          <w:p>
            <w:pPr>
              <w:spacing w:before="0" w:after="0" w:line="259" w:lineRule="auto"/>
              <w:ind w:left="0" w:right="11" w:firstLine="0"/>
              <w:jc w:val="center"/>
            </w:pPr>
            <w:r>
              <w:rPr>
                <w:rFonts w:cs="Calibri" w:hAnsi="Calibri" w:eastAsia="Calibri" w:ascii="Calibri"/>
                <w:sz w:val="19"/>
              </w:rPr>
              <w:t xml:space="preserve">0</w:t>
            </w:r>
          </w:p>
        </w:tc>
      </w:tr>
      <w:tr>
        <w:trPr>
          <w:trHeight w:val="288"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5. Project Management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22" w:firstLine="0"/>
              <w:jc w:val="center"/>
            </w:pPr>
            <w:r>
              <w:rPr>
                <w:rFonts w:cs="Calibri" w:hAnsi="Calibri" w:eastAsia="Calibri" w:ascii="Calibri"/>
                <w:sz w:val="19"/>
              </w:rPr>
              <w:t xml:space="preserve">1,190,485</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898,816 </w:t>
            </w:r>
          </w:p>
        </w:tc>
        <w:tc>
          <w:tcPr>
            <w:tcW w:w="1708" w:type="dxa"/>
            <w:tcBorders>
              <w:top w:val="single" w:sz="6" w:color="000000"/>
              <w:left w:val="single" w:sz="5" w:color="000000"/>
              <w:bottom w:val="single" w:sz="6" w:color="000000"/>
              <w:right w:val="single" w:sz="6" w:color="000000"/>
            </w:tcBorders>
            <w:vAlign w:val="top"/>
          </w:tcPr>
          <w:p>
            <w:pPr>
              <w:spacing w:before="0" w:after="0" w:line="259" w:lineRule="auto"/>
              <w:ind w:left="0" w:right="22" w:firstLine="0"/>
              <w:jc w:val="center"/>
            </w:pPr>
            <w:r>
              <w:rPr>
                <w:rFonts w:cs="Calibri" w:hAnsi="Calibri" w:eastAsia="Calibri" w:ascii="Calibri"/>
                <w:sz w:val="19"/>
              </w:rPr>
              <w:t xml:space="preserve">836,666</w:t>
            </w:r>
          </w:p>
        </w:tc>
        <w:tc>
          <w:tcPr>
            <w:tcW w:w="1763" w:type="dxa"/>
            <w:tcBorders>
              <w:top w:val="single" w:sz="6" w:color="000000"/>
              <w:left w:val="single" w:sz="6" w:color="000000"/>
              <w:bottom w:val="single" w:sz="6" w:color="000000"/>
              <w:right w:val="single" w:sz="5" w:color="000000"/>
            </w:tcBorders>
            <w:vAlign w:val="top"/>
          </w:tcPr>
          <w:p>
            <w:pPr>
              <w:spacing w:before="0" w:after="0" w:line="259" w:lineRule="auto"/>
              <w:ind w:left="0" w:right="23" w:firstLine="0"/>
              <w:jc w:val="center"/>
            </w:pPr>
            <w:r>
              <w:rPr>
                <w:rFonts w:cs="Calibri" w:hAnsi="Calibri" w:eastAsia="Calibri" w:ascii="Calibri"/>
                <w:sz w:val="19"/>
              </w:rPr>
              <w:t xml:space="preserve">631,683</w:t>
            </w:r>
          </w:p>
        </w:tc>
      </w:tr>
      <w:tr>
        <w:trPr>
          <w:trHeight w:val="226" w:hRule="atLeast"/>
        </w:trPr>
        <w:tc>
          <w:tcPr>
            <w:tcW w:w="3724" w:type="dxa"/>
            <w:tcBorders>
              <w:top w:val="single" w:sz="6" w:color="000000"/>
              <w:left w:val="single" w:sz="6" w:color="000000"/>
              <w:bottom w:val="single" w:sz="6" w:color="000000"/>
              <w:right w:val="single" w:sz="6" w:color="000000"/>
            </w:tcBorders>
            <w:shd w:val="clear" w:fill="d8d8d9"/>
            <w:vAlign w:val="top"/>
          </w:tcPr>
          <w:p>
            <w:pPr>
              <w:spacing w:before="0" w:after="0" w:line="259" w:lineRule="auto"/>
              <w:ind w:left="0" w:right="0" w:firstLine="0"/>
              <w:jc w:val="left"/>
            </w:pPr>
            <w:r>
              <w:rPr>
                <w:rFonts w:cs="Calibri" w:hAnsi="Calibri" w:eastAsia="Calibri" w:ascii="Calibri"/>
                <w:b w:val="1"/>
                <w:sz w:val="19"/>
              </w:rPr>
              <w:t xml:space="preserve">Total Budget &amp; Expenditure </w:t>
            </w:r>
          </w:p>
        </w:tc>
        <w:tc>
          <w:tcPr>
            <w:tcW w:w="1337" w:type="dxa"/>
            <w:tcBorders>
              <w:top w:val="single" w:sz="6" w:color="000000"/>
              <w:left w:val="single" w:sz="6" w:color="000000"/>
              <w:bottom w:val="single" w:sz="6" w:color="000000"/>
              <w:right w:val="single" w:sz="5" w:color="000000"/>
            </w:tcBorders>
            <w:shd w:val="clear" w:fill="d8d8d9"/>
            <w:vAlign w:val="top"/>
          </w:tcPr>
          <w:p>
            <w:pPr>
              <w:spacing w:before="0" w:after="0" w:line="259" w:lineRule="auto"/>
              <w:ind w:left="0" w:right="22" w:firstLine="0"/>
              <w:jc w:val="center"/>
            </w:pPr>
            <w:r>
              <w:rPr>
                <w:rFonts w:cs="Calibri" w:hAnsi="Calibri" w:eastAsia="Calibri" w:ascii="Calibri"/>
                <w:b w:val="1"/>
                <w:sz w:val="19"/>
              </w:rPr>
              <w:t xml:space="preserve">5,413,683</w:t>
            </w:r>
          </w:p>
        </w:tc>
        <w:tc>
          <w:tcPr>
            <w:tcW w:w="1388" w:type="dxa"/>
            <w:tcBorders>
              <w:top w:val="single" w:sz="6" w:color="000000"/>
              <w:left w:val="single" w:sz="5" w:color="000000"/>
              <w:bottom w:val="single" w:sz="6" w:color="000000"/>
              <w:right w:val="single" w:sz="5" w:color="000000"/>
            </w:tcBorders>
            <w:shd w:val="clear" w:fill="d8d8d9"/>
            <w:vAlign w:val="top"/>
          </w:tcPr>
          <w:p>
            <w:pPr>
              <w:spacing w:before="0" w:after="0" w:line="259" w:lineRule="auto"/>
              <w:ind w:left="27" w:right="0" w:firstLine="0"/>
            </w:pPr>
            <w:r>
              <w:rPr>
                <w:rFonts w:cs="Calibri" w:hAnsi="Calibri" w:eastAsia="Calibri" w:ascii="Calibri"/>
                <w:b w:val="1"/>
                <w:sz w:val="19"/>
              </w:rPr>
              <w:t xml:space="preserve">              4,087,331 </w:t>
            </w:r>
          </w:p>
        </w:tc>
        <w:tc>
          <w:tcPr>
            <w:tcW w:w="1708" w:type="dxa"/>
            <w:tcBorders>
              <w:top w:val="single" w:sz="6" w:color="000000"/>
              <w:left w:val="single" w:sz="5" w:color="000000"/>
              <w:bottom w:val="single" w:sz="6" w:color="000000"/>
              <w:right w:val="single" w:sz="6" w:color="000000"/>
            </w:tcBorders>
            <w:shd w:val="clear" w:fill="d8d8d9"/>
            <w:vAlign w:val="top"/>
          </w:tcPr>
          <w:p>
            <w:pPr>
              <w:spacing w:before="0" w:after="0" w:line="259" w:lineRule="auto"/>
              <w:ind w:left="0" w:right="9" w:firstLine="0"/>
              <w:jc w:val="center"/>
            </w:pPr>
            <w:r>
              <w:rPr>
                <w:rFonts w:cs="Calibri" w:hAnsi="Calibri" w:eastAsia="Calibri" w:ascii="Calibri"/>
                <w:b w:val="1"/>
                <w:sz w:val="19"/>
              </w:rPr>
              <w:t xml:space="preserve">1,893,016</w:t>
            </w:r>
          </w:p>
        </w:tc>
        <w:tc>
          <w:tcPr>
            <w:tcW w:w="1763" w:type="dxa"/>
            <w:tcBorders>
              <w:top w:val="single" w:sz="6" w:color="000000"/>
              <w:left w:val="single" w:sz="6" w:color="000000"/>
              <w:bottom w:val="single" w:sz="6" w:color="000000"/>
              <w:right w:val="single" w:sz="5" w:color="000000"/>
            </w:tcBorders>
            <w:shd w:val="clear" w:fill="d8d8d9"/>
            <w:vAlign w:val="top"/>
          </w:tcPr>
          <w:p>
            <w:pPr>
              <w:spacing w:before="0" w:after="0" w:line="259" w:lineRule="auto"/>
              <w:ind w:left="0" w:right="10" w:firstLine="0"/>
              <w:jc w:val="center"/>
            </w:pPr>
            <w:r>
              <w:rPr>
                <w:rFonts w:cs="Calibri" w:hAnsi="Calibri" w:eastAsia="Calibri" w:ascii="Calibri"/>
                <w:b w:val="1"/>
                <w:sz w:val="19"/>
              </w:rPr>
              <w:t xml:space="preserve">1,429,227</w:t>
            </w:r>
          </w:p>
        </w:tc>
      </w:tr>
      <w:tr>
        <w:trPr>
          <w:trHeight w:val="255"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General Management Service (GMS)Fee (7%)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9" w:firstLine="0"/>
              <w:jc w:val="center"/>
            </w:pPr>
            <w:r>
              <w:rPr>
                <w:rFonts w:cs="Calibri" w:hAnsi="Calibri" w:eastAsia="Calibri" w:ascii="Calibri"/>
                <w:sz w:val="19"/>
              </w:rPr>
              <w:t xml:space="preserve">378,958</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286,113 </w:t>
            </w:r>
          </w:p>
        </w:tc>
        <w:tc>
          <w:tcPr>
            <w:tcW w:w="1708" w:type="dxa"/>
            <w:tcBorders>
              <w:top w:val="single" w:sz="6" w:color="000000"/>
              <w:left w:val="single" w:sz="5" w:color="000000"/>
              <w:bottom w:val="single" w:sz="6" w:color="000000"/>
              <w:right w:val="single" w:sz="6" w:color="000000"/>
            </w:tcBorders>
            <w:vAlign w:val="top"/>
          </w:tcPr>
          <w:p>
            <w:pPr>
              <w:bidi w:val="0"/>
              <w:spacing w:before="0" w:after="160" w:line="259" w:lineRule="auto"/>
              <w:ind w:left="0" w:right="0" w:firstLine="0"/>
              <w:jc w:val="left"/>
            </w:pPr>
          </w:p>
        </w:tc>
        <w:tc>
          <w:tcPr>
            <w:tcW w:w="1763" w:type="dxa"/>
            <w:tcBorders>
              <w:top w:val="single" w:sz="6" w:color="000000"/>
              <w:left w:val="single" w:sz="6" w:color="000000"/>
              <w:bottom w:val="single" w:sz="6" w:color="000000"/>
              <w:right w:val="single" w:sz="5" w:color="000000"/>
            </w:tcBorders>
            <w:vAlign w:val="top"/>
          </w:tcPr>
          <w:p>
            <w:pPr>
              <w:bidi w:val="0"/>
              <w:spacing w:before="0" w:after="160" w:line="259" w:lineRule="auto"/>
              <w:ind w:left="0" w:right="0" w:firstLine="0"/>
              <w:jc w:val="left"/>
            </w:pP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Total eligible for GMS </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22" w:firstLine="0"/>
              <w:jc w:val="center"/>
            </w:pPr>
            <w:r>
              <w:rPr>
                <w:rFonts w:cs="Calibri" w:hAnsi="Calibri" w:eastAsia="Calibri" w:ascii="Calibri"/>
                <w:sz w:val="19"/>
              </w:rPr>
              <w:t xml:space="preserve">5,413,683</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27" w:right="0" w:firstLine="0"/>
            </w:pPr>
            <w:r>
              <w:rPr>
                <w:rFonts w:cs="Calibri" w:hAnsi="Calibri" w:eastAsia="Calibri" w:ascii="Calibri"/>
                <w:sz w:val="19"/>
              </w:rPr>
              <w:t xml:space="preserve">              4,087,331 </w:t>
            </w:r>
          </w:p>
        </w:tc>
        <w:tc>
          <w:tcPr>
            <w:tcW w:w="1708" w:type="dxa"/>
            <w:tcBorders>
              <w:top w:val="single" w:sz="6" w:color="000000"/>
              <w:left w:val="single" w:sz="5" w:color="000000"/>
              <w:bottom w:val="single" w:sz="6" w:color="000000"/>
              <w:right w:val="single" w:sz="6" w:color="000000"/>
            </w:tcBorders>
            <w:vAlign w:val="top"/>
          </w:tcPr>
          <w:p>
            <w:pPr>
              <w:bidi w:val="0"/>
              <w:spacing w:before="0" w:after="160" w:line="259" w:lineRule="auto"/>
              <w:ind w:left="0" w:right="0" w:firstLine="0"/>
              <w:jc w:val="left"/>
            </w:pPr>
          </w:p>
        </w:tc>
        <w:tc>
          <w:tcPr>
            <w:tcW w:w="1763" w:type="dxa"/>
            <w:tcBorders>
              <w:top w:val="single" w:sz="6" w:color="000000"/>
              <w:left w:val="single" w:sz="6" w:color="000000"/>
              <w:bottom w:val="single" w:sz="6" w:color="000000"/>
              <w:right w:val="single" w:sz="5" w:color="000000"/>
            </w:tcBorders>
            <w:vAlign w:val="top"/>
          </w:tcPr>
          <w:p>
            <w:pPr>
              <w:bidi w:val="0"/>
              <w:spacing w:before="0" w:after="160" w:line="259" w:lineRule="auto"/>
              <w:ind w:left="0" w:right="0" w:firstLine="0"/>
              <w:jc w:val="left"/>
            </w:pP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spacing w:before="0" w:after="0" w:line="259" w:lineRule="auto"/>
              <w:ind w:left="0" w:right="0" w:firstLine="0"/>
              <w:jc w:val="left"/>
            </w:pPr>
            <w:r>
              <w:rPr>
                <w:rFonts w:cs="Calibri" w:hAnsi="Calibri" w:eastAsia="Calibri" w:ascii="Calibri"/>
                <w:sz w:val="19"/>
              </w:rPr>
              <w:t xml:space="preserve">UNDP Costs***</w:t>
            </w:r>
          </w:p>
        </w:tc>
        <w:tc>
          <w:tcPr>
            <w:tcW w:w="1337" w:type="dxa"/>
            <w:tcBorders>
              <w:top w:val="single" w:sz="6" w:color="000000"/>
              <w:left w:val="single" w:sz="6" w:color="000000"/>
              <w:bottom w:val="single" w:sz="6" w:color="000000"/>
              <w:right w:val="single" w:sz="5" w:color="000000"/>
            </w:tcBorders>
            <w:vAlign w:val="top"/>
          </w:tcPr>
          <w:p>
            <w:pPr>
              <w:spacing w:before="0" w:after="0" w:line="259" w:lineRule="auto"/>
              <w:ind w:left="0" w:right="22" w:firstLine="0"/>
              <w:jc w:val="center"/>
            </w:pPr>
            <w:r>
              <w:rPr>
                <w:rFonts w:cs="Calibri" w:hAnsi="Calibri" w:eastAsia="Calibri" w:ascii="Calibri"/>
                <w:sz w:val="19"/>
              </w:rPr>
              <w:t xml:space="preserve">1,000,000</w:t>
            </w: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14" w:right="0" w:firstLine="0"/>
            </w:pPr>
            <w:r>
              <w:rPr>
                <w:rFonts w:cs="Calibri" w:hAnsi="Calibri" w:eastAsia="Calibri" w:ascii="Calibri"/>
                <w:sz w:val="19"/>
              </w:rPr>
              <w:t xml:space="preserve">                  755,000 </w:t>
            </w:r>
          </w:p>
        </w:tc>
        <w:tc>
          <w:tcPr>
            <w:tcW w:w="1708" w:type="dxa"/>
            <w:tcBorders>
              <w:top w:val="single" w:sz="6" w:color="000000"/>
              <w:left w:val="single" w:sz="5" w:color="000000"/>
              <w:bottom w:val="single" w:sz="6" w:color="000000"/>
              <w:right w:val="single" w:sz="6" w:color="000000"/>
            </w:tcBorders>
            <w:vAlign w:val="top"/>
          </w:tcPr>
          <w:p>
            <w:pPr>
              <w:bidi w:val="0"/>
              <w:spacing w:before="0" w:after="160" w:line="259" w:lineRule="auto"/>
              <w:ind w:left="0" w:right="0" w:firstLine="0"/>
              <w:jc w:val="left"/>
            </w:pPr>
          </w:p>
        </w:tc>
        <w:tc>
          <w:tcPr>
            <w:tcW w:w="1763" w:type="dxa"/>
            <w:tcBorders>
              <w:top w:val="single" w:sz="6" w:color="000000"/>
              <w:left w:val="single" w:sz="6" w:color="000000"/>
              <w:bottom w:val="single" w:sz="6" w:color="000000"/>
              <w:right w:val="single" w:sz="5" w:color="000000"/>
            </w:tcBorders>
            <w:vAlign w:val="top"/>
          </w:tcPr>
          <w:p>
            <w:pPr>
              <w:bidi w:val="0"/>
              <w:spacing w:before="0" w:after="160" w:line="259" w:lineRule="auto"/>
              <w:ind w:left="0" w:right="0" w:firstLine="0"/>
              <w:jc w:val="left"/>
            </w:pPr>
          </w:p>
        </w:tc>
      </w:tr>
      <w:tr>
        <w:trPr>
          <w:trHeight w:val="256" w:hRule="atLeast"/>
        </w:trPr>
        <w:tc>
          <w:tcPr>
            <w:tcW w:w="3724" w:type="dxa"/>
            <w:tcBorders>
              <w:top w:val="single" w:sz="6" w:color="000000"/>
              <w:left w:val="single" w:sz="6" w:color="000000"/>
              <w:bottom w:val="single" w:sz="6" w:color="000000"/>
              <w:right w:val="single" w:sz="6" w:color="000000"/>
            </w:tcBorders>
            <w:vAlign w:val="top"/>
          </w:tcPr>
          <w:p>
            <w:pPr>
              <w:bidi w:val="0"/>
              <w:spacing w:before="0" w:after="160" w:line="259" w:lineRule="auto"/>
              <w:ind w:left="0" w:right="0" w:firstLine="0"/>
              <w:jc w:val="left"/>
            </w:pPr>
          </w:p>
        </w:tc>
        <w:tc>
          <w:tcPr>
            <w:tcW w:w="1337" w:type="dxa"/>
            <w:tcBorders>
              <w:top w:val="single" w:sz="6" w:color="000000"/>
              <w:left w:val="single" w:sz="6" w:color="000000"/>
              <w:bottom w:val="single" w:sz="6" w:color="000000"/>
              <w:right w:val="single" w:sz="5" w:color="000000"/>
            </w:tcBorders>
            <w:vAlign w:val="top"/>
          </w:tcPr>
          <w:p>
            <w:pPr>
              <w:bidi w:val="0"/>
              <w:spacing w:before="0" w:after="160" w:line="259" w:lineRule="auto"/>
              <w:ind w:left="0" w:right="0" w:firstLine="0"/>
              <w:jc w:val="left"/>
            </w:pPr>
          </w:p>
        </w:tc>
        <w:tc>
          <w:tcPr>
            <w:tcW w:w="1388" w:type="dxa"/>
            <w:tcBorders>
              <w:top w:val="single" w:sz="6" w:color="000000"/>
              <w:left w:val="single" w:sz="5" w:color="000000"/>
              <w:bottom w:val="single" w:sz="6" w:color="000000"/>
              <w:right w:val="single" w:sz="5" w:color="000000"/>
            </w:tcBorders>
            <w:vAlign w:val="top"/>
          </w:tcPr>
          <w:p>
            <w:pPr>
              <w:spacing w:before="0" w:after="0" w:line="259" w:lineRule="auto"/>
              <w:ind w:left="0" w:right="114" w:firstLine="0"/>
              <w:jc w:val="right"/>
            </w:pPr>
            <w:r>
              <w:rPr>
                <w:rFonts w:cs="Calibri" w:hAnsi="Calibri" w:eastAsia="Calibri" w:ascii="Calibri"/>
                <w:sz w:val="19"/>
              </w:rPr>
              <w:t xml:space="preserve">                             -   </w:t>
            </w:r>
          </w:p>
        </w:tc>
        <w:tc>
          <w:tcPr>
            <w:tcW w:w="1708" w:type="dxa"/>
            <w:tcBorders>
              <w:top w:val="single" w:sz="6" w:color="000000"/>
              <w:left w:val="single" w:sz="5" w:color="000000"/>
              <w:bottom w:val="single" w:sz="6" w:color="000000"/>
              <w:right w:val="single" w:sz="6" w:color="000000"/>
            </w:tcBorders>
            <w:vAlign w:val="top"/>
          </w:tcPr>
          <w:p>
            <w:pPr>
              <w:bidi w:val="0"/>
              <w:spacing w:before="0" w:after="160" w:line="259" w:lineRule="auto"/>
              <w:ind w:left="0" w:right="0" w:firstLine="0"/>
              <w:jc w:val="left"/>
            </w:pPr>
          </w:p>
        </w:tc>
        <w:tc>
          <w:tcPr>
            <w:tcW w:w="1763" w:type="dxa"/>
            <w:tcBorders>
              <w:top w:val="single" w:sz="6" w:color="000000"/>
              <w:left w:val="single" w:sz="6" w:color="000000"/>
              <w:bottom w:val="single" w:sz="6" w:color="000000"/>
              <w:right w:val="single" w:sz="5" w:color="000000"/>
            </w:tcBorders>
            <w:vAlign w:val="top"/>
          </w:tcPr>
          <w:p>
            <w:pPr>
              <w:bidi w:val="0"/>
              <w:spacing w:before="0" w:after="160" w:line="259" w:lineRule="auto"/>
              <w:ind w:left="0" w:right="0" w:firstLine="0"/>
              <w:jc w:val="left"/>
            </w:pPr>
          </w:p>
        </w:tc>
      </w:tr>
      <w:tr>
        <w:trPr>
          <w:trHeight w:val="259" w:hRule="atLeast"/>
        </w:trPr>
        <w:tc>
          <w:tcPr>
            <w:tcW w:w="3724" w:type="dxa"/>
            <w:tcBorders>
              <w:top w:val="single" w:sz="6" w:color="000000"/>
              <w:left w:val="single" w:sz="6" w:color="000000"/>
              <w:bottom w:val="single" w:sz="6" w:color="000000"/>
              <w:right w:val="single" w:sz="6" w:color="000000"/>
            </w:tcBorders>
            <w:shd w:val="clear" w:fill="d8d8d9"/>
            <w:vAlign w:val="top"/>
          </w:tcPr>
          <w:p>
            <w:pPr>
              <w:spacing w:before="0" w:after="0" w:line="259" w:lineRule="auto"/>
              <w:ind w:left="0" w:right="0" w:firstLine="0"/>
              <w:jc w:val="left"/>
            </w:pPr>
            <w:r>
              <w:rPr>
                <w:rFonts w:cs="Calibri" w:hAnsi="Calibri" w:eastAsia="Calibri" w:ascii="Calibri"/>
                <w:b w:val="1"/>
                <w:sz w:val="19"/>
              </w:rPr>
              <w:t xml:space="preserve">Total Budget 2013/14</w:t>
            </w:r>
          </w:p>
        </w:tc>
        <w:tc>
          <w:tcPr>
            <w:tcW w:w="1337" w:type="dxa"/>
            <w:tcBorders>
              <w:top w:val="single" w:sz="6" w:color="000000"/>
              <w:left w:val="single" w:sz="6" w:color="000000"/>
              <w:bottom w:val="single" w:sz="6" w:color="000000"/>
              <w:right w:val="single" w:sz="5" w:color="000000"/>
            </w:tcBorders>
            <w:shd w:val="clear" w:fill="d8d8d9"/>
            <w:vAlign w:val="top"/>
          </w:tcPr>
          <w:p>
            <w:pPr>
              <w:spacing w:before="0" w:after="0" w:line="259" w:lineRule="auto"/>
              <w:ind w:left="0" w:right="22" w:firstLine="0"/>
              <w:jc w:val="center"/>
            </w:pPr>
            <w:r>
              <w:rPr>
                <w:rFonts w:cs="Calibri" w:hAnsi="Calibri" w:eastAsia="Calibri" w:ascii="Calibri"/>
                <w:b w:val="1"/>
                <w:sz w:val="19"/>
              </w:rPr>
              <w:t xml:space="preserve">6,792,641</w:t>
            </w:r>
          </w:p>
        </w:tc>
        <w:tc>
          <w:tcPr>
            <w:tcW w:w="1388" w:type="dxa"/>
            <w:tcBorders>
              <w:top w:val="single" w:sz="6" w:color="000000"/>
              <w:left w:val="single" w:sz="5" w:color="000000"/>
              <w:bottom w:val="single" w:sz="6" w:color="000000"/>
              <w:right w:val="single" w:sz="5" w:color="000000"/>
            </w:tcBorders>
            <w:shd w:val="clear" w:fill="d8d8d9"/>
            <w:vAlign w:val="top"/>
          </w:tcPr>
          <w:p>
            <w:pPr>
              <w:spacing w:before="0" w:after="0" w:line="259" w:lineRule="auto"/>
              <w:ind w:left="27" w:right="0" w:firstLine="0"/>
            </w:pPr>
            <w:r>
              <w:rPr>
                <w:rFonts w:cs="Calibri" w:hAnsi="Calibri" w:eastAsia="Calibri" w:ascii="Calibri"/>
                <w:b w:val="1"/>
                <w:sz w:val="19"/>
              </w:rPr>
              <w:t xml:space="preserve">              5,128,444 </w:t>
            </w:r>
          </w:p>
        </w:tc>
        <w:tc>
          <w:tcPr>
            <w:tcW w:w="1708" w:type="dxa"/>
            <w:tcBorders>
              <w:top w:val="single" w:sz="6" w:color="000000"/>
              <w:left w:val="single" w:sz="5" w:color="000000"/>
              <w:bottom w:val="single" w:sz="6" w:color="000000"/>
              <w:right w:val="single" w:sz="6" w:color="000000"/>
            </w:tcBorders>
            <w:shd w:val="clear" w:fill="d8d8d9"/>
            <w:vAlign w:val="top"/>
          </w:tcPr>
          <w:p>
            <w:pPr>
              <w:bidi w:val="0"/>
              <w:spacing w:before="0" w:after="160" w:line="259" w:lineRule="auto"/>
              <w:ind w:left="0" w:right="0" w:firstLine="0"/>
              <w:jc w:val="left"/>
            </w:pPr>
          </w:p>
        </w:tc>
        <w:tc>
          <w:tcPr>
            <w:tcW w:w="1763" w:type="dxa"/>
            <w:tcBorders>
              <w:top w:val="single" w:sz="6" w:color="000000"/>
              <w:left w:val="single" w:sz="6" w:color="000000"/>
              <w:bottom w:val="single" w:sz="6" w:color="000000"/>
              <w:right w:val="single" w:sz="5" w:color="000000"/>
            </w:tcBorders>
            <w:shd w:val="clear" w:fill="d8d8d9"/>
            <w:vAlign w:val="top"/>
          </w:tcPr>
          <w:p>
            <w:pPr>
              <w:bidi w:val="0"/>
              <w:spacing w:before="0" w:after="160" w:line="259" w:lineRule="auto"/>
              <w:ind w:left="0" w:right="0" w:firstLine="0"/>
              <w:jc w:val="left"/>
            </w:pPr>
          </w:p>
        </w:tc>
      </w:tr>
    </w:tbl>
    <w:p>
      <w:pPr>
        <w:spacing w:before="0" w:after="189" w:line="249" w:lineRule="auto"/>
        <w:ind w:left="-5" w:right="0" w:hanging="10"/>
      </w:pPr>
      <w:r>
        <w:rPr>
          <w:rFonts w:cs="Calibri" w:hAnsi="Calibri" w:eastAsia="Calibri" w:ascii="Calibri"/>
        </w:rPr>
        <w:t xml:space="preserve">*** UNDP Parallel Contribution from core resources  </w:t>
      </w:r>
    </w:p>
    <w:p>
      <w:pPr>
        <w:sectPr>
          <w:headerReference w:type="even" r:id="rId77"/>
          <w:headerReference w:type="default" r:id="rId75"/>
          <w:headerReference w:type="first" r:id="rId73"/>
          <w:footerReference w:type="even" r:id="rId78"/>
          <w:footerReference w:type="default" r:id="rId76"/>
          <w:footerReference w:type="first" r:id="rId74"/>
          <w:pgSz w:w="11906" w:h="16838" w:orient="portrait"/>
          <w:pgMar w:left="1440" w:top="1440" w:right="442" w:bottom="1440"/>
          <w:cols/>
        </w:sectPr>
      </w:pPr>
    </w:p>
    <w:p>
      <w:pPr>
        <w:spacing w:before="0" w:after="556" w:line="259" w:lineRule="auto"/>
        <w:ind w:left="0" w:right="375" w:firstLine="0"/>
        <w:jc w:val="right"/>
      </w:pPr>
      <w:r>
        <w:rPr>
          <w:rFonts w:cs="Times New Roman" w:hAnsi="Times New Roman" w:eastAsia="Times New Roman" w:ascii="Times New Roman"/>
          <w:sz w:val="24"/>
        </w:rPr>
        <w:t xml:space="preserve"> </w:t>
      </w:r>
    </w:p>
    <w:p>
      <w:pPr>
        <w:spacing w:before="0" w:after="228" w:line="259" w:lineRule="auto"/>
        <w:ind w:left="0" w:right="364" w:firstLine="0"/>
        <w:jc w:val="center"/>
      </w:pPr>
      <w:r>
        <w:rPr>
          <w:rFonts w:cs="Times New Roman" w:hAnsi="Times New Roman" w:eastAsia="Times New Roman" w:ascii="Times New Roman"/>
          <w:b w:val="1"/>
          <w:sz w:val="29"/>
        </w:rPr>
        <w:t xml:space="preserve"> </w:t>
      </w:r>
    </w:p>
    <w:p>
      <w:pPr>
        <w:spacing w:before="0" w:after="228" w:line="259" w:lineRule="auto"/>
        <w:ind w:left="0" w:right="431" w:firstLine="0"/>
        <w:jc w:val="center"/>
      </w:pPr>
      <w:r>
        <w:rPr>
          <w:rFonts w:cs="Times New Roman" w:hAnsi="Times New Roman" w:eastAsia="Times New Roman" w:ascii="Times New Roman"/>
          <w:b w:val="1"/>
          <w:sz w:val="29"/>
        </w:rPr>
        <w:t xml:space="preserve">ANNEX II</w:t>
      </w:r>
      <w:r>
        <w:rPr>
          <w:rFonts w:cs="Times New Roman" w:hAnsi="Times New Roman" w:eastAsia="Times New Roman" w:ascii="Times New Roman"/>
          <w:b w:val="1"/>
          <w:sz w:val="29"/>
        </w:rPr>
        <w:t xml:space="preserve"> </w:t>
      </w:r>
    </w:p>
    <w:p>
      <w:pPr>
        <w:pStyle w:val="heading4"/>
        <w:spacing w:before="0" w:after="168" w:line="261" w:lineRule="auto"/>
        <w:ind w:left="1051" w:right="358" w:firstLine="421"/>
      </w:pPr>
      <w:r>
        <w:rPr>
          <w:rFonts w:cs="Times New Roman" w:hAnsi="Times New Roman" w:eastAsia="Times New Roman" w:ascii="Times New Roman"/>
          <w:sz w:val="29"/>
        </w:rPr>
        <w:t xml:space="preserve">General Conditions applicable to European Union</w:t>
      </w:r>
      <w:r>
        <w:rPr>
          <w:rFonts w:cs="Times New Roman" w:hAnsi="Times New Roman" w:eastAsia="Times New Roman" w:ascii="Times New Roman"/>
          <w:sz w:val="29"/>
        </w:rPr>
        <w:t xml:space="preserve"> </w:t>
      </w:r>
      <w:r>
        <w:rPr>
          <w:rFonts w:cs="Times New Roman" w:hAnsi="Times New Roman" w:eastAsia="Times New Roman" w:ascii="Times New Roman"/>
          <w:sz w:val="29"/>
        </w:rPr>
        <w:t xml:space="preserve">contribution agreements with international organisations</w:t>
      </w:r>
      <w:r>
        <w:rPr>
          <w:rFonts w:cs="Times New Roman" w:hAnsi="Times New Roman" w:eastAsia="Times New Roman" w:ascii="Times New Roman"/>
          <w:sz w:val="29"/>
        </w:rPr>
        <w:t xml:space="preserve"> </w:t>
      </w:r>
    </w:p>
    <w:p>
      <w:pPr>
        <w:spacing w:before="0" w:after="319" w:line="259" w:lineRule="auto"/>
        <w:ind w:left="0" w:right="0" w:firstLine="0"/>
        <w:jc w:val="left"/>
      </w:pPr>
      <w:r>
        <w:rPr>
          <w:rFonts w:cs="Times New Roman" w:hAnsi="Times New Roman" w:eastAsia="Times New Roman" w:ascii="Times New Roman"/>
          <w:sz w:val="23"/>
        </w:rPr>
        <w:t xml:space="preserve"> </w:t>
      </w:r>
    </w:p>
    <w:p>
      <w:pPr>
        <w:spacing w:before="0" w:after="191" w:line="259" w:lineRule="auto"/>
        <w:ind w:left="0" w:right="356" w:firstLine="0"/>
        <w:jc w:val="center"/>
      </w:pPr>
      <w:r>
        <w:rPr>
          <w:rFonts w:cs="Times New Roman" w:hAnsi="Times New Roman" w:eastAsia="Times New Roman" w:ascii="Times New Roman"/>
          <w:b w:val="1"/>
          <w:sz w:val="32"/>
        </w:rPr>
        <w:t xml:space="preserve"> </w:t>
      </w:r>
    </w:p>
    <w:p>
      <w:pPr>
        <w:spacing w:before="0" w:after="289" w:line="259" w:lineRule="auto"/>
        <w:ind w:left="0" w:right="410" w:firstLine="0"/>
        <w:jc w:val="center"/>
      </w:pPr>
      <w:r>
        <w:rPr>
          <w:rFonts w:cs="Times New Roman" w:hAnsi="Times New Roman" w:eastAsia="Times New Roman" w:ascii="Times New Roman"/>
          <w:b w:val="1"/>
          <w:sz w:val="29"/>
          <w:u w:val="single" w:color="000000"/>
        </w:rPr>
        <w:t xml:space="preserve">INDEX</w:t>
      </w:r>
      <w:r>
        <w:rPr>
          <w:rFonts w:cs="Times New Roman" w:hAnsi="Times New Roman" w:eastAsia="Times New Roman" w:ascii="Times New Roman"/>
          <w:b w:val="1"/>
          <w:sz w:val="29"/>
        </w:rPr>
        <w:t xml:space="preserve"> </w:t>
      </w:r>
    </w:p>
    <w:p>
      <w:pPr>
        <w:spacing w:before="0" w:after="235" w:line="254" w:lineRule="auto"/>
        <w:ind w:left="10" w:right="14"/>
      </w:pPr>
      <w:r>
        <w:rPr>
          <w:rFonts w:cs="Times New Roman" w:hAnsi="Times New Roman" w:eastAsia="Times New Roman" w:ascii="Times New Roman"/>
          <w:sz w:val="23"/>
        </w:rPr>
        <w:t xml:space="preserve">Article 1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General obligations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2</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2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Obligations regarding information and financial and narrative reports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3</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3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Liability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5</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4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Conflict of interests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6</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5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Confidentiality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6</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6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Visibility and Transparency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6</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7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Ownership/use of results and equipment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8</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8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Evaluation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8</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9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Amendment of the Agreement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9</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10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Contracting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9</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11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Implementation period of the Agreement, suspension, 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11</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12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Termination of the Agreement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12</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13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Settlement of disputes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13</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14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Eligible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13</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15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Payments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15</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16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Accounts and technical and financial checks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17</w:t>
      </w:r>
      <w:r>
        <w:rPr>
          <w:sz w:val="23"/>
        </w:rPr>
        <w:t xml:space="preserve"> </w:t>
      </w:r>
    </w:p>
    <w:p>
      <w:pPr>
        <w:spacing w:before="0" w:after="235" w:line="254" w:lineRule="auto"/>
        <w:ind w:left="10" w:right="14"/>
      </w:pPr>
      <w:r>
        <w:rPr>
          <w:rFonts w:cs="Times New Roman" w:hAnsi="Times New Roman" w:eastAsia="Times New Roman" w:ascii="Times New Roman"/>
          <w:sz w:val="23"/>
        </w:rPr>
        <w:t xml:space="preserve">Article 17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Final amount of financing by the Contracting Authority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18</w:t>
      </w:r>
      <w:r>
        <w:rPr>
          <w:sz w:val="23"/>
        </w:rPr>
        <w:t xml:space="preserve"> </w:t>
      </w:r>
    </w:p>
    <w:p>
      <w:pPr>
        <w:spacing w:before="0" w:after="140" w:line="254" w:lineRule="auto"/>
        <w:ind w:left="10" w:right="14"/>
      </w:pPr>
      <w:r>
        <w:rPr>
          <w:rFonts w:cs="Times New Roman" w:hAnsi="Times New Roman" w:eastAsia="Times New Roman" w:ascii="Times New Roman"/>
          <w:sz w:val="23"/>
        </w:rPr>
        <w:t xml:space="preserve">Article 18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Recovery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19</w:t>
      </w:r>
      <w:r>
        <w:rPr>
          <w:sz w:val="23"/>
        </w:rPr>
        <w:t xml:space="preserve"> </w:t>
      </w:r>
    </w:p>
    <w:p>
      <w:pPr>
        <w:spacing w:before="0" w:after="967" w:line="259" w:lineRule="auto"/>
        <w:ind w:left="0" w:right="0" w:firstLine="0"/>
        <w:jc w:val="left"/>
      </w:pPr>
      <w:r>
        <w:rPr>
          <w:rFonts w:cs="Times New Roman" w:hAnsi="Times New Roman" w:eastAsia="Times New Roman" w:ascii="Times New Roman"/>
          <w:sz w:val="24"/>
        </w:rPr>
        <w:t xml:space="preserve"> </w:t>
      </w:r>
    </w:p>
    <w:p>
      <w:pPr>
        <w:spacing w:before="0" w:after="0" w:line="281" w:lineRule="auto"/>
        <w:ind w:left="0" w:right="0"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r>
        <w:rPr>
          <w:rFonts w:cs="Times New Roman" w:hAnsi="Times New Roman" w:eastAsia="Times New Roman" w:ascii="Times New Roman"/>
          <w:sz w:val="18"/>
        </w:rPr>
        <w:t xml:space="preserve">1</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c4b_contribution_agr_gc_en.doc</w:t>
      </w:r>
      <w:r>
        <w:rPr>
          <w:rFonts w:cs="Times New Roman" w:hAnsi="Times New Roman" w:eastAsia="Times New Roman" w:ascii="Times New Roman"/>
          <w:sz w:val="18"/>
        </w:rPr>
        <w:t xml:space="preserve"> </w:t>
      </w:r>
    </w:p>
    <w:p>
      <w:pPr>
        <w:pStyle w:val="heading4"/>
        <w:spacing w:before="0" w:after="593" w:line="261" w:lineRule="auto"/>
        <w:ind w:left="1272" w:right="358"/>
      </w:pPr>
      <w:r>
        <w:rPr>
          <w:rFonts w:cs="Times New Roman" w:hAnsi="Times New Roman" w:eastAsia="Times New Roman" w:ascii="Times New Roman"/>
          <w:sz w:val="29"/>
        </w:rPr>
        <w:t xml:space="preserve">GENERAL</w:t>
      </w:r>
      <w:r>
        <w:rPr>
          <w:rFonts w:cs="Times New Roman" w:hAnsi="Times New Roman" w:eastAsia="Times New Roman" w:ascii="Times New Roman"/>
          <w:sz w:val="23"/>
        </w:rPr>
        <w:t xml:space="preserve"> </w:t>
      </w:r>
      <w:r>
        <w:rPr>
          <w:rFonts w:cs="Times New Roman" w:hAnsi="Times New Roman" w:eastAsia="Times New Roman" w:ascii="Times New Roman"/>
          <w:sz w:val="29"/>
        </w:rPr>
        <w:t xml:space="preserve">AND</w:t>
      </w:r>
      <w:r>
        <w:rPr>
          <w:rFonts w:cs="Times New Roman" w:hAnsi="Times New Roman" w:eastAsia="Times New Roman" w:ascii="Times New Roman"/>
          <w:sz w:val="23"/>
        </w:rPr>
        <w:t xml:space="preserve"> </w:t>
      </w:r>
      <w:r>
        <w:rPr>
          <w:rFonts w:cs="Times New Roman" w:hAnsi="Times New Roman" w:eastAsia="Times New Roman" w:ascii="Times New Roman"/>
          <w:sz w:val="29"/>
        </w:rPr>
        <w:t xml:space="preserve">ADMINISTRATIVE</w:t>
      </w:r>
      <w:r>
        <w:rPr>
          <w:rFonts w:cs="Times New Roman" w:hAnsi="Times New Roman" w:eastAsia="Times New Roman" w:ascii="Times New Roman"/>
          <w:sz w:val="23"/>
        </w:rPr>
        <w:t xml:space="preserve"> </w:t>
      </w:r>
      <w:r>
        <w:rPr>
          <w:rFonts w:cs="Times New Roman" w:hAnsi="Times New Roman" w:eastAsia="Times New Roman" w:ascii="Times New Roman"/>
          <w:sz w:val="29"/>
        </w:rPr>
        <w:t xml:space="preserve">PROVISIONS</w:t>
      </w:r>
      <w:r>
        <w:rPr>
          <w:rFonts w:cs="Times New Roman" w:hAnsi="Times New Roman" w:eastAsia="Times New Roman" w:ascii="Times New Roman"/>
          <w:sz w:val="29"/>
        </w:rPr>
        <w:t xml:space="preserve"> </w:t>
      </w:r>
    </w:p>
    <w:p>
      <w:pPr>
        <w:pStyle w:val="heading5"/>
        <w:spacing w:before="0" w:after="99" w:line="259" w:lineRule="auto"/>
        <w:ind w:left="-5"/>
      </w:pPr>
      <w:r>
        <w:rPr>
          <w:rFonts w:cs="Times New Roman" w:hAnsi="Times New Roman" w:eastAsia="Times New Roman" w:ascii="Times New Roman"/>
          <w:sz w:val="24"/>
        </w:rPr>
        <w:t xml:space="preserve">Article 1 </w:t>
      </w:r>
      <w:r>
        <w:rPr>
          <w:rFonts w:cs="Times New Roman" w:hAnsi="Times New Roman" w:eastAsia="Times New Roman" w:ascii="Times New Roman"/>
          <w:sz w:val="24"/>
        </w:rPr>
        <w:t xml:space="preserve">- </w:t>
      </w:r>
      <w:r>
        <w:rPr>
          <w:rFonts w:cs="Arial" w:hAnsi="Arial" w:eastAsia="Arial" w:ascii="Arial"/>
          <w:sz w:val="24"/>
        </w:rPr>
        <w:t xml:space="preserve"> </w:t>
      </w:r>
      <w:r>
        <w:rPr>
          <w:rFonts w:cs="Times New Roman" w:hAnsi="Times New Roman" w:eastAsia="Times New Roman" w:ascii="Times New Roman"/>
          <w:sz w:val="23"/>
        </w:rPr>
        <w:t xml:space="preserve">G</w:t>
      </w:r>
      <w:r>
        <w:rPr>
          <w:rFonts w:cs="Times New Roman" w:hAnsi="Times New Roman" w:eastAsia="Times New Roman" w:ascii="Times New Roman"/>
          <w:sz w:val="18"/>
        </w:rPr>
        <w:t xml:space="preserve">ENERAL OBLIGATIONS</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 </w:t>
      </w:r>
    </w:p>
    <w:p>
      <w:pPr>
        <w:spacing w:before="0" w:after="235" w:line="254" w:lineRule="auto"/>
        <w:ind w:left="1276" w:right="432" w:hanging="571"/>
      </w:pPr>
      <w:r>
        <w:rPr>
          <w:rFonts w:cs="Times New Roman" w:hAnsi="Times New Roman" w:eastAsia="Times New Roman" w:ascii="Times New Roman"/>
          <w:sz w:val="23"/>
        </w:rPr>
        <w:t xml:space="preserve">1.1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Organisation shall ensure that the Action is carried out in accordance with the Description of the Action contained in Annex 1 and is responsible for achieving the objectives set out therein. The Organisation shall report on the indicators of achievement specified in the Description of the Action.</w:t>
      </w:r>
      <w:r>
        <w:rPr>
          <w:rFonts w:cs="Times New Roman" w:hAnsi="Times New Roman" w:eastAsia="Times New Roman" w:ascii="Times New Roman"/>
          <w:sz w:val="23"/>
        </w:rPr>
        <w:t xml:space="preserve"> </w:t>
      </w:r>
    </w:p>
    <w:p>
      <w:pPr>
        <w:spacing w:before="0" w:after="235" w:line="254" w:lineRule="auto"/>
        <w:ind w:left="1276" w:right="423" w:hanging="571"/>
      </w:pPr>
      <w:r>
        <w:rPr>
          <w:rFonts w:cs="Times New Roman" w:hAnsi="Times New Roman" w:eastAsia="Times New Roman" w:ascii="Times New Roman"/>
          <w:sz w:val="23"/>
        </w:rPr>
        <w:t xml:space="preserve">1.2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implement the Action with the requisite degree of care, efficiency, transparency and diligence, as required by best practice in the field concerned, and in compliance with this Agreement.</w:t>
      </w:r>
      <w:r>
        <w:rPr>
          <w:rFonts w:cs="Times New Roman" w:hAnsi="Times New Roman" w:eastAsia="Times New Roman" w:ascii="Times New Roman"/>
          <w:sz w:val="23"/>
        </w:rPr>
        <w:t xml:space="preserve">  </w:t>
      </w:r>
    </w:p>
    <w:p>
      <w:pPr>
        <w:spacing w:before="0" w:after="235" w:line="254" w:lineRule="auto"/>
        <w:ind w:left="1276" w:right="428" w:hanging="571"/>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make every effort to mobilise all the financial, human and material resources required for full implementation of the Action, as specified in the Description of the Action.</w:t>
      </w:r>
      <w:r>
        <w:rPr>
          <w:rFonts w:cs="Times New Roman" w:hAnsi="Times New Roman" w:eastAsia="Times New Roman" w:ascii="Times New Roman"/>
          <w:sz w:val="23"/>
        </w:rPr>
        <w:t xml:space="preserve">  </w:t>
      </w:r>
    </w:p>
    <w:p>
      <w:pPr>
        <w:spacing w:before="0" w:after="235" w:line="254" w:lineRule="auto"/>
        <w:ind w:left="1276" w:right="424" w:hanging="571"/>
      </w:pPr>
      <w:r>
        <w:rPr>
          <w:rFonts w:cs="Times New Roman" w:hAnsi="Times New Roman" w:eastAsia="Times New Roman" w:ascii="Times New Roman"/>
          <w:sz w:val="23"/>
        </w:rPr>
        <w:t xml:space="preserve">1.3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may act either alone or in partnership with one or more organisations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mentioned in the Description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(implementing partners or 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Partners shall actually participate in implementing the Action, and the costs they incur shall then be eligible under the same conditions as those incurred by the Organisation.</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It may also contract parts of the Action, in accordance with the provisions of article </w:t>
      </w:r>
      <w:r>
        <w:rPr>
          <w:rFonts w:cs="Times New Roman" w:hAnsi="Times New Roman" w:eastAsia="Times New Roman" w:ascii="Times New Roman"/>
          <w:sz w:val="23"/>
        </w:rPr>
        <w:t xml:space="preserve">10</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hereof.</w:t>
      </w:r>
      <w:r>
        <w:rPr>
          <w:rFonts w:cs="Times New Roman" w:hAnsi="Times New Roman" w:eastAsia="Times New Roman" w:ascii="Times New Roman"/>
          <w:sz w:val="23"/>
        </w:rPr>
        <w:t xml:space="preserve">  </w:t>
      </w:r>
    </w:p>
    <w:p>
      <w:pPr>
        <w:spacing w:before="0" w:after="235" w:line="254" w:lineRule="auto"/>
        <w:ind w:left="1287" w:right="413"/>
      </w:pPr>
      <w:r>
        <w:rPr>
          <w:rFonts w:cs="Times New Roman" w:hAnsi="Times New Roman" w:eastAsia="Times New Roman" w:ascii="Times New Roman"/>
          <w:sz w:val="23"/>
        </w:rPr>
        <w:t xml:space="preserve">Where the EU contribution has been awarded to the Organisation in the form of a grant following a call for proposals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 direct award, and therefore not as a Joint Management Action, and in particular where the implementation of the Action requires financial support to be given to third parties, the Organisation may only award grants to third parties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grants") as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provided for in the Special Conditions, and only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order to support the achievement of the objectives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Description of the Action shall include a list and description </w:t>
      </w:r>
      <w:r>
        <w:rPr>
          <w:rFonts w:cs="Times New Roman" w:hAnsi="Times New Roman" w:eastAsia="Times New Roman" w:ascii="Times New Roman"/>
          <w:sz w:val="23"/>
        </w:rPr>
        <w:t xml:space="preserve">o</w:t>
      </w:r>
      <w:r>
        <w:rPr>
          <w:rFonts w:cs="Times New Roman" w:hAnsi="Times New Roman" w:eastAsia="Times New Roman" w:ascii="Times New Roman"/>
          <w:sz w:val="23"/>
        </w:rPr>
        <w:t xml:space="preserve">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types of activity which may be eligible for sub</w:t>
      </w:r>
      <w:r>
        <w:rPr>
          <w:rFonts w:cs="Times New Roman" w:hAnsi="Times New Roman" w:eastAsia="Times New Roman" w:ascii="Times New Roman"/>
          <w:sz w:val="23"/>
        </w:rPr>
        <w:t xml:space="preserve"/>
      </w:r>
      <w:r>
        <w:rPr>
          <w:rFonts w:cs="Times New Roman" w:hAnsi="Times New Roman" w:eastAsia="Times New Roman" w:ascii="Times New Roman"/>
          <w:sz w:val="23"/>
        </w:rPr>
        <w:t xml:space="preserve">grants, together with the criteria for the selection of the beneficiaries of these sub</w:t>
      </w:r>
      <w:r>
        <w:rPr>
          <w:rFonts w:cs="Times New Roman" w:hAnsi="Times New Roman" w:eastAsia="Times New Roman" w:ascii="Times New Roman"/>
          <w:sz w:val="23"/>
        </w:rPr>
        <w:t xml:space="preserve"/>
      </w:r>
      <w:r>
        <w:rPr>
          <w:rFonts w:cs="Times New Roman" w:hAnsi="Times New Roman" w:eastAsia="Times New Roman" w:ascii="Times New Roman"/>
          <w:sz w:val="23"/>
        </w:rPr>
        <w:t xml:space="preserve">grants. The Description of the Action shall also establish the total amount which may be used for awarding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grants as well as the criteria for fixing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exact amount per sub</w:t>
      </w:r>
      <w:r>
        <w:rPr>
          <w:rFonts w:cs="Times New Roman" w:hAnsi="Times New Roman" w:eastAsia="Times New Roman" w:ascii="Times New Roman"/>
          <w:sz w:val="23"/>
        </w:rPr>
        <w:t xml:space="preserve"/>
      </w:r>
      <w:r>
        <w:rPr>
          <w:rFonts w:cs="Times New Roman" w:hAnsi="Times New Roman" w:eastAsia="Times New Roman" w:ascii="Times New Roman"/>
          <w:sz w:val="23"/>
        </w:rPr>
        <w:t xml:space="preserve">grant. The maximum amount of a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grant shall be limited to EUR </w:t>
      </w:r>
      <w:r>
        <w:rPr>
          <w:rFonts w:cs="Times New Roman" w:hAnsi="Times New Roman" w:eastAsia="Times New Roman" w:ascii="Times New Roman"/>
          <w:sz w:val="23"/>
        </w:rPr>
        <w:t xml:space="preserve">6</w:t>
      </w:r>
      <w:r>
        <w:rPr>
          <w:rFonts w:cs="Times New Roman" w:hAnsi="Times New Roman" w:eastAsia="Times New Roman" w:ascii="Times New Roman"/>
          <w:sz w:val="23"/>
        </w:rPr>
        <w:t xml:space="preserve">0 000 per third party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except in cases where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financial support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the form of grants and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grants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is the primary aim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it is not funded by the European Development Fund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grants awarded by the Organisation are subject to the nationality and eligibility rules for selection provided for in Article 10</w:t>
      </w:r>
      <w:r>
        <w:rPr>
          <w:rFonts w:cs="Times New Roman" w:hAnsi="Times New Roman" w:eastAsia="Times New Roman" w:ascii="Times New Roman"/>
          <w:sz w:val="23"/>
        </w:rPr>
        <w:t xml:space="preserve">.3.</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Where the Action is not a Joint Management Action, the bulk of the Action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undertaken by the Organisation, and where applicable, its partners.</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Organisation shall remain fully responsible for the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ordination and execution of all contracted activities.</w:t>
      </w:r>
      <w:r>
        <w:rPr>
          <w:rFonts w:cs="Times New Roman" w:hAnsi="Times New Roman" w:eastAsia="Times New Roman" w:ascii="Times New Roman"/>
          <w:sz w:val="23"/>
        </w:rPr>
        <w:t xml:space="preserve"> </w:t>
      </w:r>
    </w:p>
    <w:p>
      <w:pPr>
        <w:spacing w:before="0" w:after="235" w:line="254" w:lineRule="auto"/>
        <w:ind w:left="1306" w:right="427" w:hanging="601"/>
      </w:pPr>
      <w:r>
        <w:rPr>
          <w:rFonts w:cs="Times New Roman" w:hAnsi="Times New Roman" w:eastAsia="Times New Roman" w:ascii="Times New Roman"/>
          <w:sz w:val="23"/>
        </w:rPr>
        <w:t xml:space="preserve">1.4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undertakes to ensure that the conditions imposed upon it under Articles </w:t>
      </w:r>
      <w:r>
        <w:rPr>
          <w:rFonts w:cs="Times New Roman" w:hAnsi="Times New Roman" w:eastAsia="Times New Roman" w:ascii="Times New Roman"/>
          <w:sz w:val="23"/>
        </w:rPr>
        <w:t xml:space="preserve">1, 3, 4, 5, 6, 7,</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10, 14, 16</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w:t>
      </w:r>
      <w:r>
        <w:rPr>
          <w:rFonts w:cs="Times New Roman" w:hAnsi="Times New Roman" w:eastAsia="Times New Roman" w:ascii="Times New Roman"/>
          <w:sz w:val="23"/>
        </w:rPr>
        <w:t xml:space="preserve">17</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also apply to all partners and, where applicable,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contractors involved.</w:t>
      </w:r>
      <w:r>
        <w:rPr>
          <w:rFonts w:cs="Times New Roman" w:hAnsi="Times New Roman" w:eastAsia="Times New Roman" w:ascii="Times New Roman"/>
          <w:sz w:val="23"/>
        </w:rPr>
        <w:t xml:space="preserve"> </w:t>
      </w:r>
    </w:p>
    <w:p>
      <w:pPr>
        <w:spacing w:before="0" w:after="235" w:line="254" w:lineRule="auto"/>
        <w:ind w:left="1306" w:right="404" w:hanging="601"/>
      </w:pPr>
      <w:r>
        <w:rPr>
          <w:rFonts w:cs="Times New Roman" w:hAnsi="Times New Roman" w:eastAsia="Times New Roman" w:ascii="Times New Roman"/>
          <w:sz w:val="23"/>
        </w:rPr>
        <w:t xml:space="preserve">1.5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take appropriate measures to prevent irregularities, fraud</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corruption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any other illegal activity in the management of the Action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All suspected and actual cases of irregularity, fraud and corruption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related to this Agreement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as well as measures related thereto taken by the Organisation shall be reported to the Contracting Authority without delay.</w:t>
      </w:r>
      <w:r>
        <w:rPr>
          <w:rFonts w:cs="Times New Roman" w:hAnsi="Times New Roman" w:eastAsia="Times New Roman" w:ascii="Times New Roman"/>
          <w:sz w:val="23"/>
        </w:rPr>
        <w:t xml:space="preserve"> </w:t>
      </w:r>
    </w:p>
    <w:p>
      <w:pPr>
        <w:spacing w:before="0" w:after="235" w:line="254" w:lineRule="auto"/>
        <w:ind w:left="1287" w:right="409"/>
      </w:pPr>
      <w:r>
        <w:rPr>
          <w:rFonts w:cs="Times New Roman" w:hAnsi="Times New Roman" w:eastAsia="Times New Roman" w:ascii="Times New Roman"/>
          <w:sz w:val="23"/>
        </w:rPr>
        <w:t xml:space="preserve">Where appropriate the Organisation shall terminate contracts with partners, contractors or agents involved in fraudulent behaviour or corrupt practices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connection with this or any other actions implemented by the Organisation and financed by the European Union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shall take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all reasonable measures to recover funds unduly paid.</w:t>
      </w:r>
      <w:r>
        <w:rPr>
          <w:rFonts w:cs="Times New Roman" w:hAnsi="Times New Roman" w:eastAsia="Times New Roman" w:ascii="Times New Roman"/>
          <w:sz w:val="23"/>
        </w:rPr>
        <w:t xml:space="preserve"> </w:t>
      </w:r>
    </w:p>
    <w:p>
      <w:pPr>
        <w:spacing w:before="0" w:after="237" w:line="252" w:lineRule="auto"/>
        <w:ind w:left="1321" w:right="0" w:hanging="601"/>
        <w:jc w:val="left"/>
      </w:pPr>
      <w:r>
        <w:rPr>
          <w:rFonts w:cs="Times New Roman" w:hAnsi="Times New Roman" w:eastAsia="Times New Roman" w:ascii="Times New Roman"/>
          <w:sz w:val="23"/>
        </w:rPr>
        <w:t xml:space="preserve">1.6</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Without prejudice to Articles </w:t>
      </w:r>
      <w:r>
        <w:rPr>
          <w:rFonts w:cs="Times New Roman" w:hAnsi="Times New Roman" w:eastAsia="Times New Roman" w:ascii="Times New Roman"/>
          <w:sz w:val="23"/>
        </w:rPr>
        <w:t xml:space="preserve">1.3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w:t>
      </w:r>
      <w:r>
        <w:rPr>
          <w:rFonts w:cs="Times New Roman" w:hAnsi="Times New Roman" w:eastAsia="Times New Roman" w:ascii="Times New Roman"/>
          <w:sz w:val="23"/>
        </w:rPr>
        <w:t xml:space="preserve">10</w:t>
      </w:r>
      <w:r>
        <w:rPr>
          <w:rFonts w:cs="Times New Roman" w:hAnsi="Times New Roman" w:eastAsia="Times New Roman" w:ascii="Times New Roman"/>
          <w:sz w:val="23"/>
        </w:rPr>
        <w:t xml:space="preserve">, the Agreement and the payments attached to it shall not be assigned to a third party in any manner whatsoever without the prior written consent of the Contracting Authority.</w:t>
      </w:r>
      <w:r>
        <w:rPr>
          <w:rFonts w:cs="Times New Roman" w:hAnsi="Times New Roman" w:eastAsia="Times New Roman" w:ascii="Times New Roman"/>
          <w:sz w:val="23"/>
        </w:rPr>
        <w:t xml:space="preserve"> </w:t>
      </w:r>
    </w:p>
    <w:p>
      <w:pPr>
        <w:spacing w:before="0" w:after="235" w:line="254" w:lineRule="auto"/>
        <w:ind w:left="1306" w:right="414" w:hanging="601"/>
      </w:pPr>
      <w:r>
        <w:rPr>
          <w:rFonts w:cs="Times New Roman" w:hAnsi="Times New Roman" w:eastAsia="Times New Roman" w:ascii="Times New Roman"/>
          <w:sz w:val="23"/>
        </w:rPr>
        <w:t xml:space="preserve">1.7</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provisions regarding "Joint Management Actions" in these General Conditions may be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applied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provided for in the Special Conditions and where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at least one of the following conditions is met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0"/>
          <w:numId w:val="24"/>
        </w:numPr>
        <w:spacing w:before="0" w:after="235" w:line="254" w:lineRule="auto"/>
        <w:ind w:left="1487" w:right="415" w:hanging="285"/>
      </w:pPr>
      <w:r>
        <w:rPr>
          <w:rFonts w:cs="Times New Roman" w:hAnsi="Times New Roman" w:eastAsia="Times New Roman" w:ascii="Times New Roman"/>
          <w:sz w:val="23"/>
        </w:rPr>
        <w:t xml:space="preserve">the performance of the Action requires the pooling of resources from a number of donors, and it is not reasonably possible or appropriate to assign the share contributed by each donor to each type of expenditure (hereinafter, “Multi</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donor Actions”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or</w:t>
      </w:r>
      <w:r>
        <w:rPr>
          <w:rFonts w:cs="Times New Roman" w:hAnsi="Times New Roman" w:eastAsia="Times New Roman" w:ascii="Times New Roman"/>
          <w:sz w:val="23"/>
        </w:rPr>
        <w:t xml:space="preserve"> </w:t>
      </w:r>
    </w:p>
    <w:p>
      <w:pPr>
        <w:numPr>
          <w:ilvl w:val="0"/>
          <w:numId w:val="24"/>
        </w:numPr>
        <w:spacing w:before="0" w:after="235" w:line="254" w:lineRule="auto"/>
        <w:ind w:left="1487" w:right="415" w:hanging="285"/>
      </w:pPr>
      <w:r>
        <w:rPr>
          <w:rFonts w:cs="Times New Roman" w:hAnsi="Times New Roman" w:eastAsia="Times New Roman" w:ascii="Times New Roman"/>
          <w:sz w:val="23"/>
        </w:rPr>
        <w:t xml:space="preserve">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European Commission and the Organisation are bound by a long</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term framework agreement laying down the administrative and financial arrangements for their cooperation;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w:t>
      </w:r>
      <w:r>
        <w:rPr>
          <w:rFonts w:cs="Times New Roman" w:hAnsi="Times New Roman" w:eastAsia="Times New Roman" w:ascii="Times New Roman"/>
          <w:sz w:val="23"/>
        </w:rPr>
        <w:t xml:space="preserve"> </w:t>
      </w:r>
    </w:p>
    <w:p>
      <w:pPr>
        <w:numPr>
          <w:ilvl w:val="0"/>
          <w:numId w:val="24"/>
        </w:numPr>
        <w:spacing w:before="0" w:after="235" w:line="254" w:lineRule="auto"/>
        <w:ind w:left="1487" w:right="415" w:hanging="285"/>
      </w:pPr>
      <w:r>
        <w:rPr>
          <w:rFonts w:cs="Times New Roman" w:hAnsi="Times New Roman" w:eastAsia="Times New Roman" w:ascii="Times New Roman"/>
          <w:sz w:val="23"/>
        </w:rPr>
        <w:t xml:space="preserve">the European Commission and the Organisation have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jointly assessed the feasibility and defined the terms for implementation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the Action.</w:t>
      </w:r>
      <w:r>
        <w:rPr>
          <w:rFonts w:cs="Times New Roman" w:hAnsi="Times New Roman" w:eastAsia="Times New Roman" w:ascii="Times New Roman"/>
          <w:sz w:val="23"/>
        </w:rPr>
        <w:t xml:space="preserve"> </w:t>
      </w:r>
    </w:p>
    <w:p>
      <w:pPr>
        <w:spacing w:before="0" w:after="434" w:line="254" w:lineRule="auto"/>
        <w:ind w:left="1306" w:right="415" w:hanging="601"/>
      </w:pPr>
      <w:r>
        <w:rPr>
          <w:rFonts w:cs="Times New Roman" w:hAnsi="Times New Roman" w:eastAsia="Times New Roman" w:ascii="Times New Roman"/>
          <w:sz w:val="23"/>
        </w:rPr>
        <w:t xml:space="preserve">1.8</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the European Commission is not the Contracting Authority, it shall not be a party to this Agreement, which shall only confer on it rights and obligations where explicitly stated. It will nevertheless endorse the Agreement to ensure that the Contracting Authority’s contribution is actually paid by the EU budget, and the provisions on visibility in this Agreement will apply accordingly.</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2 </w:t>
      </w:r>
      <w:r>
        <w:rPr>
          <w:rFonts w:cs="Times New Roman" w:hAnsi="Times New Roman" w:eastAsia="Times New Roman" w:ascii="Times New Roman"/>
          <w:sz w:val="24"/>
        </w:rPr>
        <w:t xml:space="preserve">- </w:t>
      </w:r>
      <w:r>
        <w:rPr>
          <w:rFonts w:cs="Arial" w:hAnsi="Arial" w:eastAsia="Arial" w:ascii="Arial"/>
          <w:sz w:val="24"/>
        </w:rPr>
        <w:t xml:space="preserve"> </w:t>
      </w:r>
      <w:r>
        <w:rPr>
          <w:rFonts w:cs="Times New Roman" w:hAnsi="Times New Roman" w:eastAsia="Times New Roman" w:ascii="Times New Roman"/>
          <w:sz w:val="23"/>
        </w:rPr>
        <w:t xml:space="preserve">O</w:t>
      </w:r>
      <w:r>
        <w:rPr>
          <w:rFonts w:cs="Times New Roman" w:hAnsi="Times New Roman" w:eastAsia="Times New Roman" w:ascii="Times New Roman"/>
          <w:sz w:val="18"/>
        </w:rPr>
        <w:t xml:space="preserve">BLIGATIONS REGARDING</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INFORMATION AND FINANCIAL AND NARRATIVE REPORTS</w:t>
      </w:r>
      <w:r>
        <w:rPr>
          <w:rFonts w:cs="Times New Roman" w:hAnsi="Times New Roman" w:eastAsia="Times New Roman" w:ascii="Times New Roman"/>
          <w:sz w:val="23"/>
        </w:rPr>
        <w:t xml:space="preserve"> </w:t>
      </w:r>
    </w:p>
    <w:p>
      <w:pPr>
        <w:spacing w:before="0" w:after="235" w:line="254" w:lineRule="auto"/>
        <w:ind w:left="1306" w:right="415" w:hanging="601"/>
      </w:pPr>
      <w:r>
        <w:rPr>
          <w:rFonts w:cs="Times New Roman" w:hAnsi="Times New Roman" w:eastAsia="Times New Roman" w:ascii="Times New Roman"/>
          <w:sz w:val="23"/>
        </w:rPr>
        <w:t xml:space="preserve">2.1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provide the Contracting Authority with full information on the implementation of the Action. To that end, the Organisation shall provide before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signature of this Agreement a work plan for the first period of implementation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specified in the Description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also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draw up progress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reports and a final report.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These reports shall consist of a narrative part and a financial part.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Reporting, narrative as well as financial, shall cover the whole of the Action, regardless of whether this Action is wholly financed or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financed by the Contracting Authority.</w:t>
      </w:r>
      <w:r>
        <w:rPr>
          <w:rFonts w:cs="Times New Roman" w:hAnsi="Times New Roman" w:eastAsia="Times New Roman" w:ascii="Times New Roman"/>
          <w:sz w:val="23"/>
        </w:rPr>
        <w:t xml:space="preserve"> </w:t>
      </w:r>
    </w:p>
    <w:p>
      <w:pPr>
        <w:spacing w:before="0" w:after="235" w:line="254" w:lineRule="auto"/>
        <w:ind w:left="1306" w:right="426" w:hanging="601"/>
      </w:pPr>
      <w:r>
        <w:rPr>
          <w:rFonts w:cs="Times New Roman" w:hAnsi="Times New Roman" w:eastAsia="Times New Roman" w:ascii="Times New Roman"/>
          <w:sz w:val="23"/>
        </w:rPr>
        <w:t xml:space="preserve">2.2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may request additional information at any time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providing the reasons for the request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Such information shall be supplied within 30 days of the request.</w:t>
      </w:r>
      <w:r>
        <w:rPr>
          <w:rFonts w:cs="Times New Roman" w:hAnsi="Times New Roman" w:eastAsia="Times New Roman" w:ascii="Times New Roman"/>
          <w:sz w:val="23"/>
        </w:rPr>
        <w:t xml:space="preserve"> </w:t>
      </w:r>
    </w:p>
    <w:p>
      <w:pPr>
        <w:spacing w:before="0" w:after="235" w:line="254" w:lineRule="auto"/>
        <w:ind w:left="1306" w:right="428" w:hanging="601"/>
      </w:pPr>
      <w:r>
        <w:rPr>
          <w:rFonts w:cs="Times New Roman" w:hAnsi="Times New Roman" w:eastAsia="Times New Roman" w:ascii="Times New Roman"/>
          <w:sz w:val="23"/>
        </w:rPr>
        <w:t xml:space="preserve">2.3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send progress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reports to the Contracting Authority in accordance with the provisions below.</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Every report shall provide a complete account of all aspects of implementation for the period covered.</w:t>
      </w:r>
      <w:r>
        <w:rPr>
          <w:rFonts w:cs="Times New Roman" w:hAnsi="Times New Roman" w:eastAsia="Times New Roman" w:ascii="Times New Roman"/>
          <w:sz w:val="23"/>
        </w:rPr>
        <w:t xml:space="preserve"> </w:t>
      </w:r>
    </w:p>
    <w:p>
      <w:pPr>
        <w:spacing w:before="0" w:after="235" w:line="254" w:lineRule="auto"/>
        <w:ind w:left="1287" w:right="419"/>
      </w:pPr>
      <w:r>
        <w:rPr>
          <w:rFonts w:cs="Times New Roman" w:hAnsi="Times New Roman" w:eastAsia="Times New Roman" w:ascii="Times New Roman"/>
          <w:sz w:val="23"/>
        </w:rPr>
        <w:t xml:space="preserve">The report shall be laid out in such a way as to allow comparison of the objective(s), the means envisaged or employed (in particular separate information on the amounts subject to legal commitment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on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incurred by the Organisation, and where applicable,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its partners), the results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expected and obtained and the budget details for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level of detail in any report should match that of the Description of the Action and of the Budget for the Action.</w:t>
      </w:r>
      <w:r>
        <w:rPr>
          <w:rFonts w:cs="Times New Roman" w:hAnsi="Times New Roman" w:eastAsia="Times New Roman" w:ascii="Times New Roman"/>
          <w:sz w:val="23"/>
        </w:rPr>
        <w:t xml:space="preserve"> </w:t>
      </w:r>
    </w:p>
    <w:p>
      <w:pPr>
        <w:tabs>
          <w:tab w:val="center" w:pos="859"/>
          <w:tab w:val="center" w:pos="5009"/>
        </w:tabs>
        <w:spacing w:before="0" w:after="235"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2.4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narrative report shall directly relate to this Agreement and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at least include:</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Summary and context of the Action;</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Activities carried out during the reporting period (i.e. directly related to the Action and activities described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this Agreement);</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Difficulties encountered and measures taken to overcome problems;</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Changes introduced in implementation;</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Achievements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results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measured in accordance with the performance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indicators prescribed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this Agreement;</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Work plan for the following period including objectives and performance indicators of achievement. If the report cannot be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sent before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end date fixed for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period covered by the preceding work plan, a new work plan, albeit provisional, shall be provided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before such date.</w:t>
      </w:r>
      <w:r>
        <w:rPr>
          <w:rFonts w:cs="Times New Roman" w:hAnsi="Times New Roman" w:eastAsia="Times New Roman" w:ascii="Times New Roman"/>
          <w:sz w:val="23"/>
        </w:rPr>
        <w:t xml:space="preserve"> </w:t>
      </w:r>
    </w:p>
    <w:p>
      <w:pPr>
        <w:numPr>
          <w:ilvl w:val="1"/>
          <w:numId w:val="26"/>
        </w:numPr>
        <w:spacing w:before="0" w:after="235" w:line="254" w:lineRule="auto"/>
        <w:ind w:left="1306" w:right="430" w:hanging="601"/>
      </w:pPr>
      <w:r>
        <w:rPr>
          <w:rFonts w:cs="Times New Roman" w:hAnsi="Times New Roman" w:eastAsia="Times New Roman" w:ascii="Times New Roman"/>
          <w:sz w:val="23"/>
        </w:rPr>
        <w:t xml:space="preserve">The final report shall contain the above information on the activities and results of the Action (except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for a work plan mentioned in the last indent, without purpose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at the end of the Action) covering the whole Implementation Period, information on the measures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taken to identify the European Union as the source of financing</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details on the transfers of assets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provided for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Article </w:t>
      </w:r>
      <w:r>
        <w:rPr>
          <w:rFonts w:cs="Times New Roman" w:hAnsi="Times New Roman" w:eastAsia="Times New Roman" w:ascii="Times New Roman"/>
          <w:sz w:val="23"/>
        </w:rPr>
        <w:t xml:space="preserve">7.3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relevant, plus a full summary of the Action's income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contributions received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cost incurred</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1"/>
          <w:numId w:val="26"/>
        </w:numPr>
        <w:spacing w:before="0" w:after="123" w:line="360" w:lineRule="auto"/>
        <w:ind w:left="1306" w:right="430" w:hanging="601"/>
      </w:pPr>
      <w:r>
        <w:rPr>
          <w:rFonts w:cs="Times New Roman" w:hAnsi="Times New Roman" w:eastAsia="Times New Roman" w:ascii="Times New Roman"/>
          <w:sz w:val="23"/>
        </w:rPr>
        <w:t xml:space="preserve">The reports shall be presented in the same language as this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Agreement. They shall be submitted at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following intervals: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payments follow option 1 in Article </w:t>
      </w:r>
      <w:r>
        <w:rPr>
          <w:rFonts w:cs="Times New Roman" w:hAnsi="Times New Roman" w:eastAsia="Times New Roman" w:ascii="Times New Roman"/>
          <w:sz w:val="23"/>
        </w:rPr>
        <w:t xml:space="preserve">15.1: </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a progress report shall be forwarded to the Contracting Authority at the end of every </w:t>
      </w:r>
      <w:r>
        <w:rPr>
          <w:rFonts w:cs="Times New Roman" w:hAnsi="Times New Roman" w:eastAsia="Times New Roman" w:ascii="Times New Roman"/>
          <w:sz w:val="23"/>
        </w:rPr>
        <w:t xml:space="preserve">12</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month period, where the Implementation Period of this Agreement is longer;</w:t>
      </w:r>
      <w:r>
        <w:rPr>
          <w:rFonts w:cs="Times New Roman" w:hAnsi="Times New Roman" w:eastAsia="Times New Roman" w:ascii="Times New Roman"/>
          <w:sz w:val="23"/>
        </w:rPr>
        <w:t xml:space="preserve"> </w:t>
      </w:r>
    </w:p>
    <w:p>
      <w:pPr>
        <w:numPr>
          <w:ilvl w:val="0"/>
          <w:numId w:val="25"/>
        </w:numPr>
        <w:spacing w:before="0" w:after="164" w:line="323" w:lineRule="auto"/>
        <w:ind w:left="1487" w:right="14" w:hanging="285"/>
      </w:pPr>
      <w:r>
        <w:rPr>
          <w:rFonts w:cs="Times New Roman" w:hAnsi="Times New Roman" w:eastAsia="Times New Roman" w:ascii="Times New Roman"/>
          <w:sz w:val="23"/>
        </w:rPr>
        <w:t xml:space="preserve">a final report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forwarded to the Contracting Authority within six months of the end of the Implementation Period of this Agreement as defined in Article 2 of the Special Conditions;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payments follow option 2 in Article </w:t>
      </w:r>
      <w:r>
        <w:rPr>
          <w:rFonts w:cs="Times New Roman" w:hAnsi="Times New Roman" w:eastAsia="Times New Roman" w:ascii="Times New Roman"/>
          <w:sz w:val="23"/>
        </w:rPr>
        <w:t xml:space="preserve">15.1: </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a progress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 shall accompany every request for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interim payments</w:t>
      </w:r>
      <w:r>
        <w:rPr>
          <w:rFonts w:cs="Times New Roman" w:hAnsi="Times New Roman" w:eastAsia="Times New Roman" w:ascii="Times New Roman"/>
          <w:sz w:val="23"/>
        </w:rPr>
        <w:t xml:space="preserve">;   </w:t>
      </w:r>
    </w:p>
    <w:p>
      <w:pPr>
        <w:numPr>
          <w:ilvl w:val="0"/>
          <w:numId w:val="25"/>
        </w:numPr>
        <w:spacing w:before="0" w:after="235" w:line="254" w:lineRule="auto"/>
        <w:ind w:left="1487" w:right="14" w:hanging="285"/>
      </w:pPr>
      <w:r>
        <w:rPr>
          <w:rFonts w:cs="Times New Roman" w:hAnsi="Times New Roman" w:eastAsia="Times New Roman" w:ascii="Times New Roman"/>
          <w:sz w:val="23"/>
        </w:rPr>
        <w:t xml:space="preserve">the final report shall be forwarded to the Contracting Authority within six months of the end of the Implementation Period of this Agreement as defined in Article 2 of the Special Conditions.</w:t>
      </w:r>
      <w:r>
        <w:rPr>
          <w:rFonts w:cs="Times New Roman" w:hAnsi="Times New Roman" w:eastAsia="Times New Roman" w:ascii="Times New Roman"/>
          <w:sz w:val="23"/>
        </w:rPr>
        <w:t xml:space="preserve"> </w:t>
      </w:r>
    </w:p>
    <w:p>
      <w:pPr>
        <w:numPr>
          <w:ilvl w:val="1"/>
          <w:numId w:val="27"/>
        </w:numPr>
        <w:spacing w:before="0" w:after="235" w:line="254" w:lineRule="auto"/>
        <w:ind w:left="1306" w:right="409" w:hanging="601"/>
      </w:pPr>
      <w:r>
        <w:rPr>
          <w:rFonts w:cs="Times New Roman" w:hAnsi="Times New Roman" w:eastAsia="Times New Roman" w:ascii="Times New Roman"/>
          <w:sz w:val="23"/>
        </w:rPr>
        <w:t xml:space="preserve">Reports shall be submitted in Euro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in the holding currency used by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may be drawn from financial statements denominated in other currencies as per the Organisation’s legislative requirements. In such case and for the purpose of reporting, conversion into Euro shall be made using the rate of exchange at which the Contracting Authority’s contribution was recorded in the Organisation’s accounts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(weighted average), unless otherwise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specified in article 4(3) of the Special Conditions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1"/>
          <w:numId w:val="27"/>
        </w:numPr>
        <w:spacing w:before="0" w:after="235" w:line="254" w:lineRule="auto"/>
        <w:ind w:left="1306" w:right="409" w:hanging="601"/>
      </w:pPr>
      <w:r>
        <w:rPr>
          <w:rFonts w:cs="Times New Roman" w:hAnsi="Times New Roman" w:eastAsia="Times New Roman" w:ascii="Times New Roman"/>
          <w:sz w:val="23"/>
        </w:rPr>
        <w:t xml:space="preserve">Any additional reporting requirement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set out in the Special Conditions.</w:t>
      </w:r>
      <w:r>
        <w:rPr>
          <w:rFonts w:cs="Times New Roman" w:hAnsi="Times New Roman" w:eastAsia="Times New Roman" w:ascii="Times New Roman"/>
          <w:sz w:val="23"/>
        </w:rPr>
        <w:t xml:space="preserve"> </w:t>
      </w:r>
    </w:p>
    <w:p>
      <w:pPr>
        <w:numPr>
          <w:ilvl w:val="1"/>
          <w:numId w:val="27"/>
        </w:numPr>
        <w:spacing w:before="0" w:after="235" w:line="254" w:lineRule="auto"/>
        <w:ind w:left="1306" w:right="409" w:hanging="601"/>
      </w:pPr>
      <w:r>
        <w:rPr>
          <w:rFonts w:cs="Times New Roman" w:hAnsi="Times New Roman" w:eastAsia="Times New Roman" w:ascii="Times New Roman"/>
          <w:sz w:val="23"/>
        </w:rPr>
        <w:t xml:space="preserve">If the Organisation fails to supply a final report by the final report deadline laid down in Article </w:t>
      </w:r>
      <w:r>
        <w:rPr>
          <w:rFonts w:cs="Times New Roman" w:hAnsi="Times New Roman" w:eastAsia="Times New Roman" w:ascii="Times New Roman"/>
          <w:sz w:val="23"/>
        </w:rPr>
        <w:t xml:space="preserve">2.6</w:t>
      </w:r>
      <w:r>
        <w:rPr>
          <w:rFonts w:cs="Times New Roman" w:hAnsi="Times New Roman" w:eastAsia="Times New Roman" w:ascii="Times New Roman"/>
          <w:sz w:val="23"/>
        </w:rPr>
        <w:t xml:space="preserve">, and fails to furnish an acceptable written explanation of the reasons why it is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unable to comply with this obligation, the Contracting Authority may refuse to pay any outstanding amount and recover any amounts unduly paid.</w:t>
      </w:r>
      <w:r>
        <w:rPr>
          <w:rFonts w:cs="Times New Roman" w:hAnsi="Times New Roman" w:eastAsia="Times New Roman" w:ascii="Times New Roman"/>
          <w:sz w:val="23"/>
        </w:rPr>
        <w:t xml:space="preserve"> </w:t>
      </w:r>
    </w:p>
    <w:p>
      <w:pPr>
        <w:spacing w:before="0" w:after="235" w:line="254" w:lineRule="auto"/>
        <w:ind w:left="1287" w:right="424"/>
      </w:pPr>
      <w:r>
        <w:rPr>
          <w:rFonts w:cs="Times New Roman" w:hAnsi="Times New Roman" w:eastAsia="Times New Roman" w:ascii="Times New Roman"/>
          <w:sz w:val="23"/>
        </w:rPr>
        <w:t xml:space="preserve">Furthermore, where the Organisation fails to present a progress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 and where relevant a request for payment by the end of each </w:t>
      </w:r>
      <w:r>
        <w:rPr>
          <w:rFonts w:cs="Times New Roman" w:hAnsi="Times New Roman" w:eastAsia="Times New Roman" w:ascii="Times New Roman"/>
          <w:sz w:val="23"/>
        </w:rPr>
        <w:t xml:space="preserve">12</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month period following the date laid down in Article 2(2) of the Special Conditions, the Organisation shall inform the Contracting Authority of the reasons why it is unable to do so, and shall provide a summary of the state of progress of the Action. If the Organisation fails to comply with this obligation, the Contracting Authority may terminate the Agreement in accordance with the first indent of Article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12.2</w:t>
      </w:r>
      <w:r>
        <w:rPr>
          <w:rFonts w:cs="Times New Roman" w:hAnsi="Times New Roman" w:eastAsia="Times New Roman" w:ascii="Times New Roman"/>
          <w:sz w:val="23"/>
        </w:rPr>
        <w:t xml:space="preserve">, refuse to pay any outstanding amount and recover any amounts unduly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paid.</w:t>
      </w:r>
      <w:r>
        <w:rPr>
          <w:rFonts w:cs="Times New Roman" w:hAnsi="Times New Roman" w:eastAsia="Times New Roman" w:ascii="Times New Roman"/>
          <w:sz w:val="23"/>
        </w:rPr>
        <w:t xml:space="preserve"> </w:t>
      </w:r>
    </w:p>
    <w:p>
      <w:pPr>
        <w:numPr>
          <w:ilvl w:val="1"/>
          <w:numId w:val="27"/>
        </w:numPr>
        <w:spacing w:before="0" w:after="235" w:line="254" w:lineRule="auto"/>
        <w:ind w:left="1306" w:right="409" w:hanging="601"/>
      </w:pPr>
      <w:r>
        <w:rPr>
          <w:rFonts w:cs="Times New Roman" w:hAnsi="Times New Roman" w:eastAsia="Times New Roman" w:ascii="Times New Roman"/>
          <w:sz w:val="23"/>
        </w:rPr>
        <w:t xml:space="preserve">In addition to the above mentioned reports, the Organisation will ensure that progress and situation reports, publications, press releases and updates, relevant to this Agreement, are communicated to the Contracting Authority as and when they are issued.</w:t>
      </w:r>
      <w:r>
        <w:rPr>
          <w:rFonts w:cs="Times New Roman" w:hAnsi="Times New Roman" w:eastAsia="Times New Roman" w:ascii="Times New Roman"/>
          <w:sz w:val="23"/>
        </w:rPr>
        <w:t xml:space="preserve"> </w:t>
      </w:r>
    </w:p>
    <w:p>
      <w:pPr>
        <w:spacing w:before="0" w:after="235" w:line="254" w:lineRule="auto"/>
        <w:ind w:left="1287" w:right="415"/>
      </w:pPr>
      <w:r>
        <w:rPr>
          <w:rFonts w:cs="Times New Roman" w:hAnsi="Times New Roman" w:eastAsia="Times New Roman" w:ascii="Times New Roman"/>
          <w:sz w:val="23"/>
        </w:rPr>
        <w:t xml:space="preserve">The Organisation and the Contracting Authority will further endeavour to promote close collaboration and exchange of information on the Action. The Organisation will invite the European Commission to join any donor committee which may be set up in connection with Multi</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Donor Actions.</w:t>
      </w:r>
      <w:r>
        <w:rPr>
          <w:rFonts w:cs="Times New Roman" w:hAnsi="Times New Roman" w:eastAsia="Times New Roman" w:ascii="Times New Roman"/>
          <w:sz w:val="23"/>
        </w:rPr>
        <w:t xml:space="preserve"> </w:t>
      </w:r>
    </w:p>
    <w:p>
      <w:pPr>
        <w:numPr>
          <w:ilvl w:val="1"/>
          <w:numId w:val="27"/>
        </w:numPr>
        <w:spacing w:before="0" w:after="409" w:line="254" w:lineRule="auto"/>
        <w:ind w:left="1306" w:right="409" w:hanging="601"/>
      </w:pPr>
      <w:r>
        <w:rPr>
          <w:rFonts w:cs="Times New Roman" w:hAnsi="Times New Roman" w:eastAsia="Times New Roman" w:ascii="Times New Roman"/>
          <w:sz w:val="23"/>
        </w:rPr>
        <w:t xml:space="preserve">In any event the Organisation shall inform the Contracting Authority without delay of any circumstances likely to hamper or delay the implementation of the Action.</w:t>
      </w:r>
      <w:r>
        <w:rPr>
          <w:rFonts w:cs="Times New Roman" w:hAnsi="Times New Roman" w:eastAsia="Times New Roman" w:ascii="Times New Roman"/>
          <w:sz w:val="23"/>
        </w:rPr>
        <w:t xml:space="preserve"> </w:t>
      </w:r>
    </w:p>
    <w:p>
      <w:pPr>
        <w:pStyle w:val="heading6"/>
        <w:spacing w:before="0" w:after="96" w:line="259" w:lineRule="auto"/>
        <w:ind w:left="-5" w:right="0" w:hanging="10"/>
        <w:jc w:val="left"/>
      </w:pPr>
      <w:r>
        <w:rPr>
          <w:rFonts w:cs="Times New Roman" w:hAnsi="Times New Roman" w:eastAsia="Times New Roman" w:ascii="Times New Roman"/>
          <w:b w:val="1"/>
          <w:i w:val="1"/>
          <w:sz w:val="24"/>
        </w:rPr>
        <w:t xml:space="preserve">Article 3 </w:t>
      </w:r>
      <w:r>
        <w:rPr>
          <w:rFonts w:cs="Times New Roman" w:hAnsi="Times New Roman" w:eastAsia="Times New Roman" w:ascii="Times New Roman"/>
          <w:b w:val="1"/>
          <w:i w:val="1"/>
          <w:sz w:val="24"/>
        </w:rPr>
        <w:t xml:space="preserve">- </w:t>
      </w:r>
      <w:r>
        <w:rPr>
          <w:rFonts w:cs="Arial" w:hAnsi="Arial" w:eastAsia="Arial" w:ascii="Arial"/>
          <w:b w:val="1"/>
          <w:i w:val="1"/>
          <w:sz w:val="24"/>
        </w:rPr>
        <w:t xml:space="preserve"> </w:t>
      </w:r>
      <w:r>
        <w:rPr>
          <w:rFonts w:cs="Times New Roman" w:hAnsi="Times New Roman" w:eastAsia="Times New Roman" w:ascii="Times New Roman"/>
          <w:b w:val="1"/>
          <w:i w:val="1"/>
          <w:sz w:val="23"/>
        </w:rPr>
        <w:t xml:space="preserve">L</w:t>
      </w:r>
      <w:r>
        <w:rPr>
          <w:rFonts w:cs="Times New Roman" w:hAnsi="Times New Roman" w:eastAsia="Times New Roman" w:ascii="Times New Roman"/>
          <w:b w:val="1"/>
          <w:i w:val="1"/>
          <w:sz w:val="18"/>
        </w:rPr>
        <w:t xml:space="preserve">IABILITY</w:t>
      </w:r>
      <w:r>
        <w:rPr>
          <w:rFonts w:cs="Times New Roman" w:hAnsi="Times New Roman" w:eastAsia="Times New Roman" w:ascii="Times New Roman"/>
          <w:b w:val="1"/>
          <w:i w:val="1"/>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3.1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have sole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responsibility for complying with 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legal obligations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incumbent on it.</w:t>
      </w:r>
      <w:r>
        <w:rPr>
          <w:rFonts w:cs="Times New Roman" w:hAnsi="Times New Roman" w:eastAsia="Times New Roman" w:ascii="Times New Roman"/>
          <w:sz w:val="23"/>
        </w:rPr>
        <w:t xml:space="preserve"> </w:t>
      </w:r>
    </w:p>
    <w:p>
      <w:pPr>
        <w:spacing w:before="0" w:after="235" w:line="254" w:lineRule="auto"/>
        <w:ind w:left="1306" w:right="421" w:hanging="601"/>
      </w:pPr>
      <w:r>
        <w:rPr>
          <w:rFonts w:cs="Times New Roman" w:hAnsi="Times New Roman" w:eastAsia="Times New Roman" w:ascii="Times New Roman"/>
          <w:sz w:val="23"/>
        </w:rPr>
        <w:t xml:space="preserve">3.2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may not under any circumstances or for any reason whatsoever be held liable for damage or injury sustained by the staff or property of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while the Action is being carried out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as a consequence of the Action</w:t>
      </w:r>
      <w:r>
        <w:rPr>
          <w:rFonts w:cs="Times New Roman" w:hAnsi="Times New Roman" w:eastAsia="Times New Roman" w:ascii="Times New Roman"/>
          <w:sz w:val="23"/>
        </w:rPr>
        <w:t xml:space="preserve">.</w:t>
      </w:r>
      <w:r>
        <w:rPr>
          <w:rFonts w:cs="Times New Roman" w:hAnsi="Times New Roman" w:eastAsia="Times New Roman" w:ascii="Times New Roman"/>
          <w:i w:val="1"/>
          <w:sz w:val="23"/>
        </w:rPr>
        <w:t xml:space="preserve"> </w:t>
      </w:r>
      <w:r>
        <w:rPr>
          <w:rFonts w:cs="Times New Roman" w:hAnsi="Times New Roman" w:eastAsia="Times New Roman" w:ascii="Times New Roman"/>
          <w:sz w:val="23"/>
        </w:rPr>
        <w:t xml:space="preserve">Therefore,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Contracting Authority may not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accept any claim for compensation or increases in payment in connection with such damage or injury.</w:t>
      </w:r>
      <w:r>
        <w:rPr>
          <w:rFonts w:cs="Times New Roman" w:hAnsi="Times New Roman" w:eastAsia="Times New Roman" w:ascii="Times New Roman"/>
          <w:sz w:val="23"/>
        </w:rPr>
        <w:t xml:space="preserve"> </w:t>
      </w:r>
    </w:p>
    <w:p>
      <w:pPr>
        <w:spacing w:before="0" w:after="422" w:line="254" w:lineRule="auto"/>
        <w:ind w:left="1306" w:right="420" w:hanging="601"/>
      </w:pPr>
      <w:r>
        <w:rPr>
          <w:rFonts w:cs="Times New Roman" w:hAnsi="Times New Roman" w:eastAsia="Times New Roman" w:ascii="Times New Roman"/>
          <w:sz w:val="23"/>
        </w:rPr>
        <w:t xml:space="preserve">3.3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Subject to the rules governing the Organisation's privileges and immunities, the Organisation shall assume sole liability towards third parties, including liability for damage or injury of any kind sustained by them</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respect of or arising out of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Action. The Organisation shall discharge the Contracting Authority of all liability associated with any claim or action brought as a result of an infringement by the Organisation or the Organisation's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employees or individuals for whom those employees are responsible of rules or regulations,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as a result of violation of a third party's rights.</w:t>
      </w:r>
      <w:r>
        <w:rPr>
          <w:rFonts w:cs="Times New Roman" w:hAnsi="Times New Roman" w:eastAsia="Times New Roman" w:ascii="Times New Roman"/>
          <w:sz w:val="23"/>
        </w:rPr>
        <w:t xml:space="preserve"> </w:t>
      </w:r>
    </w:p>
    <w:p>
      <w:pPr>
        <w:pStyle w:val="heading7"/>
        <w:spacing w:before="0" w:after="99" w:line="259" w:lineRule="auto"/>
        <w:ind w:left="-5"/>
      </w:pPr>
      <w:r>
        <w:rPr>
          <w:sz w:val="24"/>
        </w:rPr>
        <w:t xml:space="preserve">Article 4 </w:t>
      </w:r>
      <w:r>
        <w:rPr>
          <w:sz w:val="24"/>
        </w:rPr>
        <w:t xml:space="preserve">- </w:t>
      </w:r>
      <w:r>
        <w:rPr>
          <w:rFonts w:cs="Arial" w:hAnsi="Arial" w:eastAsia="Arial" w:ascii="Arial"/>
          <w:sz w:val="24"/>
        </w:rPr>
        <w:t xml:space="preserve"> </w:t>
      </w:r>
      <w:r>
        <w:rPr>
          <w:sz w:val="23"/>
        </w:rPr>
        <w:t xml:space="preserve">C</w:t>
      </w:r>
      <w:r>
        <w:rPr/>
        <w:t xml:space="preserve">ONFLICT OF INTERESTS</w:t>
      </w:r>
      <w:r>
        <w:rPr>
          <w:sz w:val="23"/>
        </w:rPr>
        <w:t xml:space="preserve"> </w:t>
      </w:r>
    </w:p>
    <w:p>
      <w:pPr>
        <w:spacing w:before="0" w:after="235" w:line="254" w:lineRule="auto"/>
        <w:ind w:left="1287" w:right="413"/>
      </w:pPr>
      <w:r>
        <w:rPr>
          <w:rFonts w:cs="Times New Roman" w:hAnsi="Times New Roman" w:eastAsia="Times New Roman" w:ascii="Times New Roman"/>
          <w:sz w:val="23"/>
        </w:rPr>
        <w:t xml:space="preserve">The Organisation shall take all necessary precautions to avoid conflicts of interests and shall inform the Contracting Authority without delay of any situation constituting or likely to lead to any such conflict.</w:t>
      </w:r>
      <w:r>
        <w:rPr>
          <w:rFonts w:cs="Times New Roman" w:hAnsi="Times New Roman" w:eastAsia="Times New Roman" w:ascii="Times New Roman"/>
          <w:sz w:val="23"/>
        </w:rPr>
        <w:t xml:space="preserve"> </w:t>
      </w:r>
    </w:p>
    <w:p>
      <w:pPr>
        <w:spacing w:before="0" w:after="419" w:line="254" w:lineRule="auto"/>
        <w:ind w:left="1287" w:right="418"/>
      </w:pPr>
      <w:r>
        <w:rPr>
          <w:rFonts w:cs="Times New Roman" w:hAnsi="Times New Roman" w:eastAsia="Times New Roman" w:ascii="Times New Roman"/>
          <w:sz w:val="23"/>
        </w:rPr>
        <w:t xml:space="preserve">There is a conflict of interests where the impartial and objective exercise of the functions of any person implementing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Agreement is compromised for reasons involving family, emotional life, political or national affinity, economic interest or any other shared interest with another party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such as a contractor or grant beneficiary, or the final recipients of funds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pStyle w:val="heading7"/>
        <w:spacing w:before="0" w:after="99" w:line="259" w:lineRule="auto"/>
        <w:ind w:left="-5"/>
      </w:pPr>
      <w:r>
        <w:rPr>
          <w:sz w:val="24"/>
        </w:rPr>
        <w:t xml:space="preserve">Article 5 </w:t>
      </w:r>
      <w:r>
        <w:rPr>
          <w:sz w:val="24"/>
        </w:rPr>
        <w:t xml:space="preserve">- </w:t>
      </w:r>
      <w:r>
        <w:rPr>
          <w:rFonts w:cs="Arial" w:hAnsi="Arial" w:eastAsia="Arial" w:ascii="Arial"/>
          <w:sz w:val="24"/>
        </w:rPr>
        <w:t xml:space="preserve"> </w:t>
      </w:r>
      <w:r>
        <w:rPr/>
        <w:t xml:space="preserve"> </w:t>
      </w:r>
      <w:r>
        <w:rPr>
          <w:sz w:val="23"/>
        </w:rPr>
        <w:t xml:space="preserve">C</w:t>
      </w:r>
      <w:r>
        <w:rPr/>
        <w:t xml:space="preserve">ONFIDENTIALITY</w:t>
      </w:r>
      <w:r>
        <w:rPr>
          <w:sz w:val="23"/>
        </w:rPr>
        <w:t xml:space="preserve"> </w:t>
      </w:r>
    </w:p>
    <w:p>
      <w:pPr>
        <w:spacing w:before="0" w:after="424" w:line="254" w:lineRule="auto"/>
        <w:ind w:left="1287" w:right="413"/>
      </w:pPr>
      <w:r>
        <w:rPr>
          <w:rFonts w:cs="Times New Roman" w:hAnsi="Times New Roman" w:eastAsia="Times New Roman" w:ascii="Times New Roman"/>
          <w:sz w:val="23"/>
        </w:rPr>
        <w:t xml:space="preserve">Subject to Article </w:t>
      </w:r>
      <w:r>
        <w:rPr>
          <w:rFonts w:cs="Times New Roman" w:hAnsi="Times New Roman" w:eastAsia="Times New Roman" w:ascii="Times New Roman"/>
          <w:sz w:val="23"/>
        </w:rPr>
        <w:t xml:space="preserve">16</w:t>
      </w:r>
      <w:r>
        <w:rPr>
          <w:rFonts w:cs="Times New Roman" w:hAnsi="Times New Roman" w:eastAsia="Times New Roman" w:ascii="Times New Roman"/>
          <w:sz w:val="23"/>
        </w:rPr>
        <w:t xml:space="preserve">, the Contracting Authority and the Organisation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preserve the confidentiality of any document, information or other material directly related to this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Agreement and duly classified as confidential, until at least five years after the end date as specified in Article </w:t>
      </w:r>
      <w:r>
        <w:rPr>
          <w:rFonts w:cs="Times New Roman" w:hAnsi="Times New Roman" w:eastAsia="Times New Roman" w:ascii="Times New Roman"/>
          <w:sz w:val="23"/>
        </w:rPr>
        <w:t xml:space="preserve">12.5</w:t>
      </w:r>
      <w:r>
        <w:rPr>
          <w:rFonts w:cs="Times New Roman" w:hAnsi="Times New Roman" w:eastAsia="Times New Roman" w:ascii="Times New Roman"/>
          <w:sz w:val="23"/>
        </w:rPr>
        <w:t xml:space="preserve">. Where the European Commission is not the Contracting Authority, it shall still have access to all documents communicated to the Contracting Authority, and will maintain the same confidentiality. </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6 </w:t>
      </w:r>
      <w:r>
        <w:rPr>
          <w:rFonts w:cs="Times New Roman" w:hAnsi="Times New Roman" w:eastAsia="Times New Roman" w:ascii="Times New Roman"/>
          <w:sz w:val="24"/>
        </w:rPr>
        <w:t xml:space="preserve">- </w:t>
      </w:r>
      <w:r>
        <w:rPr>
          <w:rFonts w:cs="Arial" w:hAnsi="Arial" w:eastAsia="Arial" w:ascii="Arial"/>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V</w:t>
      </w:r>
      <w:r>
        <w:rPr>
          <w:rFonts w:cs="Times New Roman" w:hAnsi="Times New Roman" w:eastAsia="Times New Roman" w:ascii="Times New Roman"/>
          <w:sz w:val="18"/>
        </w:rPr>
        <w:t xml:space="preserve">ISIBILITY</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AND </w:t>
      </w:r>
      <w:r>
        <w:rPr>
          <w:rFonts w:cs="Times New Roman" w:hAnsi="Times New Roman" w:eastAsia="Times New Roman" w:ascii="Times New Roman"/>
          <w:sz w:val="23"/>
        </w:rPr>
        <w:t xml:space="preserve">T</w:t>
      </w:r>
      <w:r>
        <w:rPr>
          <w:rFonts w:cs="Times New Roman" w:hAnsi="Times New Roman" w:eastAsia="Times New Roman" w:ascii="Times New Roman"/>
          <w:sz w:val="18"/>
        </w:rPr>
        <w:t xml:space="preserve">RANSPARENCY</w:t>
      </w:r>
      <w:r>
        <w:rPr>
          <w:rFonts w:cs="Times New Roman" w:hAnsi="Times New Roman" w:eastAsia="Times New Roman" w:ascii="Times New Roman"/>
          <w:sz w:val="23"/>
        </w:rPr>
        <w:t xml:space="preserve"> </w:t>
      </w:r>
    </w:p>
    <w:p>
      <w:pPr>
        <w:spacing w:before="0" w:after="264" w:line="254" w:lineRule="auto"/>
        <w:ind w:left="1306" w:right="404" w:hanging="601"/>
      </w:pPr>
      <w:r>
        <w:rPr>
          <w:rFonts w:cs="Times New Roman" w:hAnsi="Times New Roman" w:eastAsia="Times New Roman" w:ascii="Times New Roman"/>
          <w:sz w:val="23"/>
        </w:rPr>
        <w:t xml:space="preserve">6.1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Unless the European Commission requests or agrees otherwise, the Organisation shall take all appropriate measures to publicise the fact that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has received funding from the European Union.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Information given to the press, the beneficiaries of the Action, all related publicity material, official notices, reports and publications, shall acknowledge that the Action was carried out "with funding by the European Union" and shall display in an appropriate way the European logo (twelve yellow stars on a blue background).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Such measures will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carried out in accordance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 the Communication and Visibility Manual for EU External Actions laid down and published by the European Commission, or any other guidelines agreed between the European Commission and the Organisation.  </w:t>
      </w:r>
      <w:r>
        <w:rPr>
          <w:rFonts w:cs="Times New Roman" w:hAnsi="Times New Roman" w:eastAsia="Times New Roman" w:ascii="Times New Roman"/>
          <w:sz w:val="23"/>
        </w:rPr>
        <w:t xml:space="preserve"> </w:t>
      </w:r>
    </w:p>
    <w:p>
      <w:pPr>
        <w:spacing w:before="0" w:after="235" w:line="254" w:lineRule="auto"/>
        <w:ind w:left="1287" w:right="417"/>
      </w:pPr>
      <w:r>
        <w:rPr>
          <w:rFonts w:cs="Times New Roman" w:hAnsi="Times New Roman" w:eastAsia="Times New Roman" w:ascii="Times New Roman"/>
          <w:sz w:val="23"/>
        </w:rPr>
        <w:t xml:space="preserve">It is understood that the Organisation’s equipment and vehicles may routinely carry its emblem and other indications of ownership prominently displayed. In cases where equipment or vehicles and major supplies have been purchased using funds provided by the European Union, the Organisation shall display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appropriate acknowledgement on such vehicles, equipment and major supplies (including display of the European logo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such display could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jeopardise the Organisation’s privileges and immunities 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safety and security of the Organisation’s staff, the Organisation shall propose appropriate alternative arrangements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35" w:line="254" w:lineRule="auto"/>
        <w:ind w:left="1306" w:right="419" w:hanging="601"/>
      </w:pPr>
      <w:r>
        <w:rPr>
          <w:rFonts w:cs="Times New Roman" w:hAnsi="Times New Roman" w:eastAsia="Times New Roman" w:ascii="Times New Roman"/>
          <w:sz w:val="23"/>
        </w:rPr>
        <w:t xml:space="preserve">6.2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size and prominence of the acknowledgement and European Union logo shall be clearly visible in a manner that does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not create any confusion regarding the identification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as an Activity of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ownership of the equipment and supplies by the Organisation, and the application to the Action of the Organisation’s privileges and immunities.</w:t>
      </w:r>
      <w:r>
        <w:rPr>
          <w:rFonts w:cs="Times New Roman" w:hAnsi="Times New Roman" w:eastAsia="Times New Roman" w:ascii="Times New Roman"/>
          <w:sz w:val="23"/>
        </w:rPr>
        <w:t xml:space="preserve"> </w:t>
      </w:r>
    </w:p>
    <w:p>
      <w:pPr>
        <w:spacing w:before="0" w:after="0" w:line="254" w:lineRule="auto"/>
        <w:ind w:left="1306" w:right="414" w:hanging="601"/>
      </w:pPr>
      <w:r>
        <w:rPr>
          <w:rFonts w:cs="Times New Roman" w:hAnsi="Times New Roman" w:eastAsia="Times New Roman" w:ascii="Times New Roman"/>
          <w:sz w:val="23"/>
        </w:rPr>
        <w:t xml:space="preserve">6.3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All publications by the Organisation pertaining to the Action, in whatever form and whatever medium, including the internet, shall carry the following or a similar disclaimer: "This document has been produced with the financial assistance of the European Union. </w:t>
      </w:r>
    </w:p>
    <w:p>
      <w:pPr>
        <w:spacing w:before="0" w:after="235" w:line="254" w:lineRule="auto"/>
        <w:ind w:left="1332" w:right="14"/>
      </w:pPr>
      <w:r>
        <w:rPr>
          <w:rFonts w:cs="Times New Roman" w:hAnsi="Times New Roman" w:eastAsia="Times New Roman" w:ascii="Times New Roman"/>
          <w:sz w:val="23"/>
        </w:rPr>
        <w:t xml:space="preserve">The views expressed herein can in no way be taken to reflect the official opinion of the European Union.”</w:t>
      </w:r>
      <w:r>
        <w:rPr>
          <w:rFonts w:cs="Times New Roman" w:hAnsi="Times New Roman" w:eastAsia="Times New Roman" w:ascii="Times New Roman"/>
          <w:sz w:val="23"/>
        </w:rPr>
        <w:t xml:space="preserve"> </w:t>
      </w:r>
    </w:p>
    <w:p>
      <w:pPr>
        <w:spacing w:before="0" w:after="235" w:line="254" w:lineRule="auto"/>
        <w:ind w:left="1306" w:right="409" w:hanging="601"/>
      </w:pPr>
      <w:r>
        <w:rPr>
          <w:rFonts w:cs="Times New Roman" w:hAnsi="Times New Roman" w:eastAsia="Times New Roman" w:ascii="Times New Roman"/>
          <w:sz w:val="23"/>
        </w:rPr>
        <w:t xml:space="preserve">6.4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the equipment bought with a European Union contribution is not transferred to local partners of the Organisation or the final recipient of the Action at the latest when submitting the final report, the visibility requirements as regards this equipment (in particular display of the European logo) shall continue to apply between submission of the final report and the end of the overall project, programme or action of the Organisation, if the latter is longer.</w:t>
      </w:r>
      <w:r>
        <w:rPr>
          <w:rFonts w:cs="Times New Roman" w:hAnsi="Times New Roman" w:eastAsia="Times New Roman" w:ascii="Times New Roman"/>
          <w:sz w:val="23"/>
        </w:rPr>
        <w:t xml:space="preserve"> </w:t>
      </w:r>
    </w:p>
    <w:p>
      <w:pPr>
        <w:spacing w:before="0" w:after="235" w:line="254" w:lineRule="auto"/>
        <w:ind w:left="1306" w:right="419" w:hanging="601"/>
      </w:pPr>
      <w:r>
        <w:rPr>
          <w:rFonts w:cs="Times New Roman" w:hAnsi="Times New Roman" w:eastAsia="Times New Roman" w:ascii="Times New Roman"/>
          <w:sz w:val="23"/>
        </w:rPr>
        <w:t xml:space="preserve">6.5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Publicity pertaining to European Union contributions shall quote these contributions in Euro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or EUR), in parenthesis if necessary. The Organisation’s publications and reports prepared in response to, and in accordance with, its legislative directives are excluded from this provision.</w:t>
      </w:r>
      <w:r>
        <w:rPr>
          <w:rFonts w:cs="Times New Roman" w:hAnsi="Times New Roman" w:eastAsia="Times New Roman" w:ascii="Times New Roman"/>
          <w:sz w:val="23"/>
        </w:rPr>
        <w:t xml:space="preserve"> </w:t>
      </w:r>
    </w:p>
    <w:p>
      <w:pPr>
        <w:spacing w:before="0" w:after="235" w:line="254" w:lineRule="auto"/>
        <w:ind w:left="1306" w:right="417" w:hanging="601"/>
      </w:pPr>
      <w:r>
        <w:rPr>
          <w:rFonts w:cs="Times New Roman" w:hAnsi="Times New Roman" w:eastAsia="Times New Roman" w:ascii="Times New Roman"/>
          <w:sz w:val="23"/>
        </w:rPr>
        <w:t xml:space="preserve">6.6</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accepts that the Contracting Authority and the European Commission (where it is not the Contracting Authority) publish in any form and medium, including on their websites the name and address of the Organisation, the purpose of the contribution as well as the amount contributed and if relevant the percentage of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p>
    <w:p>
      <w:pPr>
        <w:spacing w:before="0" w:after="235" w:line="254" w:lineRule="auto"/>
        <w:ind w:left="1287" w:right="418"/>
      </w:pPr>
      <w:r>
        <w:rPr>
          <w:rFonts w:cs="Times New Roman" w:hAnsi="Times New Roman" w:eastAsia="Times New Roman" w:ascii="Times New Roman"/>
          <w:sz w:val="23"/>
        </w:rPr>
        <w:t xml:space="preserve">Upon a duly substantiated request by the Organisation, the European Commission may agree to forego such publicity if disclosure of the above information would risk threatening the Organisation’s safety or harming its interests.</w:t>
      </w:r>
      <w:r>
        <w:rPr>
          <w:rFonts w:cs="Times New Roman" w:hAnsi="Times New Roman" w:eastAsia="Times New Roman" w:ascii="Times New Roman"/>
          <w:sz w:val="23"/>
        </w:rPr>
        <w:t xml:space="preserve"> </w:t>
      </w:r>
    </w:p>
    <w:p>
      <w:pPr>
        <w:spacing w:before="0" w:after="235" w:line="254" w:lineRule="auto"/>
        <w:ind w:left="1306" w:right="416" w:hanging="601"/>
      </w:pPr>
      <w:r>
        <w:rPr>
          <w:rFonts w:cs="Times New Roman" w:hAnsi="Times New Roman" w:eastAsia="Times New Roman" w:ascii="Times New Roman"/>
          <w:sz w:val="23"/>
        </w:rPr>
        <w:t xml:space="preserve">6.7</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 due regard to the applicable rules on confidentiality, security and protection of personal data, the Organisation shall publish, on an annual basis, on its website, the following information on grant and procurement contracts exceeding EUR 15.000 financed by the Contracting Authority: title of the contract/project, nature and purpose of the contract/project, name and locality of the contractor or grant beneficiary and amount of the contract/project. The term "locality" shall mean the address for legal persons and the Region on NUTS</w:t>
      </w:r>
      <w:r>
        <w:rPr>
          <w:rFonts w:cs="Times New Roman" w:hAnsi="Times New Roman" w:eastAsia="Times New Roman" w:ascii="Times New Roman"/>
          <w:sz w:val="23"/>
          <w:vertAlign w:val="superscript"/>
        </w:rPr>
        <w:footnoteReference w:id="114"/>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2 level, or equivalent,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for natural persons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35" w:line="254" w:lineRule="auto"/>
        <w:ind w:left="1306" w:right="429" w:hanging="601"/>
      </w:pPr>
      <w:r>
        <w:rPr>
          <w:rFonts w:cs="Times New Roman" w:hAnsi="Times New Roman" w:eastAsia="Times New Roman" w:ascii="Times New Roman"/>
          <w:sz w:val="23"/>
        </w:rPr>
        <w:t xml:space="preserve">6.8</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provide to the Contracting Authority the address of the website where this information can be found and shall authorise the publication of such address in the Contracting Authority's internet site.</w:t>
      </w:r>
      <w:r>
        <w:rPr>
          <w:rFonts w:cs="Times New Roman" w:hAnsi="Times New Roman" w:eastAsia="Times New Roman" w:ascii="Times New Roman"/>
          <w:sz w:val="23"/>
        </w:rPr>
        <w:t xml:space="preserve"> </w:t>
      </w:r>
    </w:p>
    <w:p>
      <w:pPr>
        <w:spacing w:before="0" w:after="430" w:line="254" w:lineRule="auto"/>
        <w:ind w:left="1287" w:right="14"/>
      </w:pPr>
      <w:r>
        <w:rPr>
          <w:rFonts w:cs="Times New Roman" w:hAnsi="Times New Roman" w:eastAsia="Times New Roman" w:ascii="Times New Roman"/>
          <w:sz w:val="23"/>
        </w:rPr>
        <w:t xml:space="preserve">The Organisation ensures that the obligation to publish this information shall be also applied by its implementing partners as described in Annex I of this Agreement,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 </w:t>
      </w:r>
      <w:r>
        <w:rPr>
          <w:rFonts w:cs="Times New Roman" w:hAnsi="Times New Roman" w:eastAsia="Times New Roman" w:ascii="Times New Roman"/>
          <w:sz w:val="23"/>
        </w:rPr>
        <w:t xml:space="preserve">regard to their own grant and procurement contracts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financed by the Contracting Authority.</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7 </w:t>
      </w:r>
      <w:r>
        <w:rPr>
          <w:rFonts w:cs="Times New Roman" w:hAnsi="Times New Roman" w:eastAsia="Times New Roman" w:ascii="Times New Roman"/>
          <w:sz w:val="24"/>
        </w:rPr>
        <w:t xml:space="preserve">- </w:t>
      </w:r>
      <w:r>
        <w:rPr>
          <w:rFonts w:cs="Arial" w:hAnsi="Arial" w:eastAsia="Arial" w:ascii="Arial"/>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O</w:t>
      </w:r>
      <w:r>
        <w:rPr>
          <w:rFonts w:cs="Times New Roman" w:hAnsi="Times New Roman" w:eastAsia="Times New Roman" w:ascii="Times New Roman"/>
          <w:sz w:val="18"/>
        </w:rPr>
        <w:t xml:space="preserve">WNERSHIP</w:t>
      </w:r>
      <w:r>
        <w:rPr>
          <w:rFonts w:cs="Times New Roman" w:hAnsi="Times New Roman" w:eastAsia="Times New Roman" w:ascii="Times New Roman"/>
          <w:sz w:val="23"/>
        </w:rPr>
        <w:t xml:space="preserve">/</w:t>
      </w:r>
      <w:r>
        <w:rPr>
          <w:rFonts w:cs="Times New Roman" w:hAnsi="Times New Roman" w:eastAsia="Times New Roman" w:ascii="Times New Roman"/>
          <w:sz w:val="18"/>
        </w:rPr>
        <w:t xml:space="preserve">USE OF RESULTS AND EQUIPMENT</w:t>
      </w:r>
      <w:r>
        <w:rPr>
          <w:rFonts w:cs="Times New Roman" w:hAnsi="Times New Roman" w:eastAsia="Times New Roman" w:ascii="Times New Roman"/>
          <w:sz w:val="23"/>
        </w:rPr>
        <w:t xml:space="preserve"> </w:t>
      </w:r>
    </w:p>
    <w:p>
      <w:pPr>
        <w:spacing w:before="0" w:after="235" w:line="254" w:lineRule="auto"/>
        <w:ind w:left="1306" w:right="419" w:hanging="601"/>
      </w:pPr>
      <w:r>
        <w:rPr>
          <w:rFonts w:cs="Times New Roman" w:hAnsi="Times New Roman" w:eastAsia="Times New Roman" w:ascii="Times New Roman"/>
          <w:sz w:val="23"/>
        </w:rPr>
        <w:t xml:space="preserve">7.1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Ownership, title and industrial and intellectual property rights in the results of the Action and the reports and other documents relating to it shall vest in the Organisation, as the case may be together with third parties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as may otherwise be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agreed by the Organisation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35" w:line="254" w:lineRule="auto"/>
        <w:ind w:left="1306" w:right="423" w:hanging="601"/>
      </w:pPr>
      <w:r>
        <w:rPr>
          <w:rFonts w:cs="Times New Roman" w:hAnsi="Times New Roman" w:eastAsia="Times New Roman" w:ascii="Times New Roman"/>
          <w:sz w:val="23"/>
        </w:rPr>
        <w:t xml:space="preserve">7.2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Notwithstanding the provisions of the first paragraph and subject to Article </w:t>
      </w:r>
      <w:r>
        <w:rPr>
          <w:rFonts w:cs="Times New Roman" w:hAnsi="Times New Roman" w:eastAsia="Times New Roman" w:ascii="Times New Roman"/>
          <w:sz w:val="23"/>
        </w:rPr>
        <w:t xml:space="preserve">5</w:t>
      </w:r>
      <w:r>
        <w:rPr>
          <w:rFonts w:cs="Times New Roman" w:hAnsi="Times New Roman" w:eastAsia="Times New Roman" w:ascii="Times New Roman"/>
          <w:sz w:val="23"/>
        </w:rPr>
        <w:t xml:space="preserve">, the Organisation shall grant the Contracting Authority (and the European Commission where it is not the Contracting Authority) the right to use free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charge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as it sees fit all documents deriving from the Action, whatever their form, provided it does not thereby breach existing industrial and intellectual property rights.</w:t>
      </w:r>
      <w:r>
        <w:rPr>
          <w:rFonts w:cs="Times New Roman" w:hAnsi="Times New Roman" w:eastAsia="Times New Roman" w:ascii="Times New Roman"/>
          <w:sz w:val="23"/>
        </w:rPr>
        <w:t xml:space="preserve"> </w:t>
      </w:r>
    </w:p>
    <w:p>
      <w:pPr>
        <w:spacing w:before="0" w:after="235" w:line="254" w:lineRule="auto"/>
        <w:ind w:left="1306" w:right="410" w:hanging="601"/>
      </w:pPr>
      <w:r>
        <w:rPr>
          <w:rFonts w:cs="Times New Roman" w:hAnsi="Times New Roman" w:eastAsia="Times New Roman" w:ascii="Times New Roman"/>
          <w:sz w:val="23"/>
        </w:rPr>
        <w:t xml:space="preserve">7.3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Unless otherwise specified in the Special Conditions, the equipment, vehicles and supplies paid for by the Contracting Authority’s funding shall be transferred to local authorities or local partners (excluding commercial contractors) of the Organisation or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final recipients of the Action at the latest when submitting the final report. The documentary proof of those transfers shall be kept for verification along with the documents mentioned in Article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16.3.</w:t>
      </w:r>
      <w:r>
        <w:rPr>
          <w:rFonts w:cs="Times New Roman" w:hAnsi="Times New Roman" w:eastAsia="Times New Roman" w:ascii="Times New Roman"/>
          <w:sz w:val="23"/>
        </w:rPr>
        <w:t xml:space="preserve"> </w:t>
      </w:r>
    </w:p>
    <w:p>
      <w:pPr>
        <w:spacing w:before="0" w:after="235" w:line="254" w:lineRule="auto"/>
        <w:ind w:left="1287" w:right="424"/>
      </w:pPr>
      <w:r>
        <w:rPr>
          <w:rFonts w:cs="Times New Roman" w:hAnsi="Times New Roman" w:eastAsia="Times New Roman" w:ascii="Times New Roman"/>
          <w:sz w:val="23"/>
        </w:rPr>
        <w:t xml:space="preserve">By way of derogation from the preceding paragraph, the equipment, vehicle and supplies purchased in the framework of multi</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donor actions which continue after the end of the Implementation Period of this Agreement, may be transferred to these local authorities, partners or final recipients at the end of the project, programme or action of the Organisation.  The Organisation pledges to use the assets to the benefit of those benefiting from the present Action.  The Organisation shall inform the Contracting Authority on the end use of the assets in the final report. </w:t>
      </w:r>
      <w:r>
        <w:rPr>
          <w:rFonts w:cs="Times New Roman" w:hAnsi="Times New Roman" w:eastAsia="Times New Roman" w:ascii="Times New Roman"/>
          <w:sz w:val="23"/>
        </w:rPr>
        <w:t xml:space="preserve"> </w:t>
      </w:r>
    </w:p>
    <w:p>
      <w:pPr>
        <w:spacing w:before="0" w:after="423" w:line="254" w:lineRule="auto"/>
        <w:ind w:left="1287" w:right="421"/>
      </w:pPr>
      <w:r>
        <w:rPr>
          <w:rFonts w:cs="Times New Roman" w:hAnsi="Times New Roman" w:eastAsia="Times New Roman" w:ascii="Times New Roman"/>
          <w:sz w:val="23"/>
        </w:rPr>
        <w:t xml:space="preserve">In the event that there are no local authorities or partners to whom the equipment, vehicles and supplies could be transferred, the Organisation may transfer the assets to another action funded by the European Union or Contracting Authority or, exceptionally, retain ownership of the equipment, vehicles and supplies at the end of the Action.  In such cases, it should submit a justified written request with an inventory listing the items concerned and a proposal concerning their use in due time and at the latest with the submission of the final report. In no event may the end use jeopardize the sustainability of the Action or result in a profit for the Organisation.</w:t>
      </w:r>
      <w:r>
        <w:rPr>
          <w:rFonts w:cs="Times New Roman" w:hAnsi="Times New Roman" w:eastAsia="Times New Roman" w:ascii="Times New Roman"/>
          <w:sz w:val="23"/>
        </w:rPr>
        <w:t xml:space="preserve"> </w:t>
      </w:r>
    </w:p>
    <w:p>
      <w:pPr>
        <w:pStyle w:val="heading6"/>
        <w:spacing w:before="0" w:after="99" w:line="259" w:lineRule="auto"/>
        <w:ind w:left="-5" w:right="0" w:hanging="10"/>
        <w:jc w:val="left"/>
      </w:pPr>
      <w:r>
        <w:rPr>
          <w:rFonts w:cs="Times New Roman" w:hAnsi="Times New Roman" w:eastAsia="Times New Roman" w:ascii="Times New Roman"/>
          <w:b w:val="1"/>
          <w:i w:val="1"/>
          <w:sz w:val="24"/>
        </w:rPr>
        <w:t xml:space="preserve">Article 8 </w:t>
      </w:r>
      <w:r>
        <w:rPr>
          <w:rFonts w:cs="Times New Roman" w:hAnsi="Times New Roman" w:eastAsia="Times New Roman" w:ascii="Times New Roman"/>
          <w:b w:val="1"/>
          <w:i w:val="1"/>
          <w:sz w:val="24"/>
        </w:rPr>
        <w:t xml:space="preserve">- </w:t>
      </w:r>
      <w:r>
        <w:rPr>
          <w:rFonts w:cs="Arial" w:hAnsi="Arial" w:eastAsia="Arial" w:ascii="Arial"/>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E</w:t>
      </w:r>
      <w:r>
        <w:rPr>
          <w:rFonts w:cs="Times New Roman" w:hAnsi="Times New Roman" w:eastAsia="Times New Roman" w:ascii="Times New Roman"/>
          <w:b w:val="1"/>
          <w:i w:val="1"/>
          <w:sz w:val="18"/>
        </w:rPr>
        <w:t xml:space="preserve">VALUATION OF THE </w:t>
      </w:r>
      <w:r>
        <w:rPr>
          <w:rFonts w:cs="Times New Roman" w:hAnsi="Times New Roman" w:eastAsia="Times New Roman" w:ascii="Times New Roman"/>
          <w:b w:val="1"/>
          <w:i w:val="1"/>
          <w:sz w:val="23"/>
        </w:rPr>
        <w:t xml:space="preserve">A</w:t>
      </w:r>
      <w:r>
        <w:rPr>
          <w:rFonts w:cs="Times New Roman" w:hAnsi="Times New Roman" w:eastAsia="Times New Roman" w:ascii="Times New Roman"/>
          <w:b w:val="1"/>
          <w:i w:val="1"/>
          <w:sz w:val="18"/>
        </w:rPr>
        <w:t xml:space="preserve">CTION</w:t>
      </w:r>
      <w:r>
        <w:rPr>
          <w:rFonts w:cs="Times New Roman" w:hAnsi="Times New Roman" w:eastAsia="Times New Roman" w:ascii="Times New Roman"/>
          <w:b w:val="1"/>
          <w:i w:val="1"/>
          <w:sz w:val="23"/>
        </w:rPr>
        <w:t xml:space="preserve"> </w:t>
      </w:r>
    </w:p>
    <w:p>
      <w:pPr>
        <w:spacing w:before="0" w:after="235" w:line="254" w:lineRule="auto"/>
        <w:ind w:left="1306" w:right="428" w:hanging="601"/>
      </w:pPr>
      <w:r>
        <w:rPr>
          <w:rFonts w:cs="Times New Roman" w:hAnsi="Times New Roman" w:eastAsia="Times New Roman" w:ascii="Times New Roman"/>
          <w:sz w:val="23"/>
        </w:rPr>
        <w:t xml:space="preserve">8.1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Representatives of the European Commission shall be invited to participate in the main monitoring and in the evaluation missions relating to the performance of the Action. The results of such missions shall be reported to the European Commission.</w:t>
      </w:r>
      <w:r>
        <w:rPr>
          <w:rFonts w:cs="Times New Roman" w:hAnsi="Times New Roman" w:eastAsia="Times New Roman" w:ascii="Times New Roman"/>
          <w:sz w:val="23"/>
        </w:rPr>
        <w:t xml:space="preserve"> </w:t>
      </w:r>
    </w:p>
    <w:p>
      <w:pPr>
        <w:spacing w:before="0" w:after="235" w:line="254" w:lineRule="auto"/>
        <w:ind w:left="1306" w:right="423" w:hanging="601"/>
      </w:pPr>
      <w:r>
        <w:rPr>
          <w:rFonts w:cs="Times New Roman" w:hAnsi="Times New Roman" w:eastAsia="Times New Roman" w:ascii="Times New Roman"/>
          <w:sz w:val="23"/>
        </w:rPr>
        <w:t xml:space="preserve">8.2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Article 8.1 is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without prejudice to any evaluation mission which the European Commission as a donor may wish to perform.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Evaluation missions by representatives of the European Commission should be planned and completed in a collaborative manner between the Organisation’s staff and the European Commission’s representatives, keeping in mind the commitment of the Parties to the effective and efficient operation of this Agreement.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These missions are to be planned ahead and procedural matters are to </w:t>
      </w:r>
    </w:p>
    <w:p>
      <w:pPr>
        <w:spacing w:before="0" w:after="425" w:line="254" w:lineRule="auto"/>
        <w:ind w:left="1332" w:right="426"/>
      </w:pPr>
      <w:r>
        <w:rPr>
          <w:rFonts w:cs="Times New Roman" w:hAnsi="Times New Roman" w:eastAsia="Times New Roman" w:ascii="Times New Roman"/>
          <w:sz w:val="23"/>
        </w:rPr>
        <w:t xml:space="preserve">be agreed upon by the European Commission and the Organisation in advance.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mission will offer to make a draft of its report available to the Organisation for comments prior to final issuance.</w:t>
      </w:r>
      <w:r>
        <w:rPr>
          <w:rFonts w:cs="Times New Roman" w:hAnsi="Times New Roman" w:eastAsia="Times New Roman" w:ascii="Times New Roman"/>
          <w:sz w:val="23"/>
        </w:rPr>
        <w:t xml:space="preserve"> </w:t>
      </w:r>
    </w:p>
    <w:p>
      <w:pPr>
        <w:pStyle w:val="heading6"/>
        <w:spacing w:before="0" w:after="99" w:line="259" w:lineRule="auto"/>
        <w:ind w:left="-5" w:right="0" w:hanging="10"/>
        <w:jc w:val="left"/>
      </w:pPr>
      <w:r>
        <w:rPr>
          <w:rFonts w:cs="Times New Roman" w:hAnsi="Times New Roman" w:eastAsia="Times New Roman" w:ascii="Times New Roman"/>
          <w:b w:val="1"/>
          <w:i w:val="1"/>
          <w:sz w:val="24"/>
        </w:rPr>
        <w:t xml:space="preserve">Article 9 </w:t>
      </w:r>
      <w:r>
        <w:rPr>
          <w:rFonts w:cs="Times New Roman" w:hAnsi="Times New Roman" w:eastAsia="Times New Roman" w:ascii="Times New Roman"/>
          <w:b w:val="1"/>
          <w:i w:val="1"/>
          <w:sz w:val="24"/>
        </w:rPr>
        <w:t xml:space="preserve">- </w:t>
      </w:r>
      <w:r>
        <w:rPr>
          <w:rFonts w:cs="Arial" w:hAnsi="Arial" w:eastAsia="Arial" w:ascii="Arial"/>
          <w:b w:val="1"/>
          <w:i w:val="1"/>
          <w:sz w:val="24"/>
        </w:rPr>
        <w:t xml:space="preserve"> </w:t>
      </w:r>
      <w:r>
        <w:rPr>
          <w:rFonts w:cs="Times New Roman" w:hAnsi="Times New Roman" w:eastAsia="Times New Roman" w:ascii="Times New Roman"/>
          <w:b w:val="1"/>
          <w:i w:val="1"/>
          <w:sz w:val="23"/>
        </w:rPr>
        <w:t xml:space="preserve">A</w:t>
      </w:r>
      <w:r>
        <w:rPr>
          <w:rFonts w:cs="Times New Roman" w:hAnsi="Times New Roman" w:eastAsia="Times New Roman" w:ascii="Times New Roman"/>
          <w:b w:val="1"/>
          <w:i w:val="1"/>
          <w:sz w:val="18"/>
        </w:rPr>
        <w:t xml:space="preserve">MENDMENT OF THE </w:t>
      </w:r>
      <w:r>
        <w:rPr>
          <w:rFonts w:cs="Times New Roman" w:hAnsi="Times New Roman" w:eastAsia="Times New Roman" w:ascii="Times New Roman"/>
          <w:b w:val="1"/>
          <w:i w:val="1"/>
          <w:sz w:val="23"/>
        </w:rPr>
        <w:t xml:space="preserve">A</w:t>
      </w:r>
      <w:r>
        <w:rPr>
          <w:rFonts w:cs="Times New Roman" w:hAnsi="Times New Roman" w:eastAsia="Times New Roman" w:ascii="Times New Roman"/>
          <w:b w:val="1"/>
          <w:i w:val="1"/>
          <w:sz w:val="18"/>
        </w:rPr>
        <w:t xml:space="preserve">GREEMENT</w:t>
      </w:r>
      <w:r>
        <w:rPr>
          <w:rFonts w:cs="Times New Roman" w:hAnsi="Times New Roman" w:eastAsia="Times New Roman" w:ascii="Times New Roman"/>
          <w:b w:val="1"/>
          <w:i w:val="1"/>
          <w:sz w:val="23"/>
        </w:rPr>
        <w:t xml:space="preserve"> </w:t>
      </w:r>
    </w:p>
    <w:p>
      <w:pPr>
        <w:spacing w:before="0" w:after="235" w:line="254" w:lineRule="auto"/>
        <w:ind w:left="1306" w:right="423" w:hanging="601"/>
      </w:pPr>
      <w:r>
        <w:rPr>
          <w:rFonts w:cs="Times New Roman" w:hAnsi="Times New Roman" w:eastAsia="Times New Roman" w:ascii="Times New Roman"/>
          <w:sz w:val="23"/>
        </w:rPr>
        <w:t xml:space="preserve">9.1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Any modification to the Agreement, including the annexes thereto, shall be set out in writing in an amendment.  This Agreement can only be modified during the execution period set out in Article 2(4) of the Special Conditions.  </w:t>
      </w:r>
      <w:r>
        <w:rPr>
          <w:rFonts w:cs="Times New Roman" w:hAnsi="Times New Roman" w:eastAsia="Times New Roman" w:ascii="Times New Roman"/>
          <w:sz w:val="23"/>
        </w:rPr>
        <w:t xml:space="preserve"> </w:t>
      </w:r>
    </w:p>
    <w:p>
      <w:pPr>
        <w:spacing w:before="0" w:after="235" w:line="254" w:lineRule="auto"/>
        <w:ind w:left="1287" w:right="415"/>
      </w:pPr>
      <w:r>
        <w:rPr>
          <w:rFonts w:cs="Times New Roman" w:hAnsi="Times New Roman" w:eastAsia="Times New Roman" w:ascii="Times New Roman"/>
          <w:sz w:val="23"/>
        </w:rPr>
        <w:t xml:space="preserve">If the request for an amendment comes from the Organisation, the latter shall submit that request to the Contracting Authority one month before the amendment is intended to enter into force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in any case no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later than one month before the end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the execution period,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unless there are special circumstances duly substantiated by the Organisation and accepted by the Contracting Authority. </w:t>
      </w:r>
      <w:r>
        <w:rPr>
          <w:rFonts w:cs="Times New Roman" w:hAnsi="Times New Roman" w:eastAsia="Times New Roman" w:ascii="Times New Roman"/>
          <w:sz w:val="23"/>
        </w:rPr>
        <w:t xml:space="preserve"> </w:t>
      </w:r>
    </w:p>
    <w:p>
      <w:pPr>
        <w:spacing w:before="0" w:after="235" w:line="254" w:lineRule="auto"/>
        <w:ind w:left="1306" w:right="408" w:hanging="601"/>
      </w:pPr>
      <w:r>
        <w:rPr>
          <w:rFonts w:cs="Times New Roman" w:hAnsi="Times New Roman" w:eastAsia="Times New Roman" w:ascii="Times New Roman"/>
          <w:sz w:val="23"/>
        </w:rPr>
        <w:t xml:space="preserve">9.2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a modification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 the Description of the Action and/or the Budget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does not affect the basic purpose of the Action and the financial impact is limited to a transfer within a single budget heading, including cancellation or introduction of an item, or a transfer between budget headings involving a variation (as the case may be in cumulative terms) of 15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or less of the amount originally entered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as modified by a formal amendment)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relation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each concerned heading for eligible costs, the Organisation may amend the Budget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shall inform the Contracting Authority accordingly in writing.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method shall not be used to amend headings for administrative costs or the contingency reserve.</w:t>
      </w:r>
      <w:r>
        <w:rPr>
          <w:rFonts w:cs="Times New Roman" w:hAnsi="Times New Roman" w:eastAsia="Times New Roman" w:ascii="Times New Roman"/>
          <w:sz w:val="23"/>
        </w:rPr>
        <w:t xml:space="preserve"> </w:t>
      </w:r>
    </w:p>
    <w:p>
      <w:pPr>
        <w:spacing w:before="0" w:after="235" w:line="254" w:lineRule="auto"/>
        <w:ind w:left="1287" w:right="414"/>
      </w:pPr>
      <w:r>
        <w:rPr>
          <w:rFonts w:cs="Times New Roman" w:hAnsi="Times New Roman" w:eastAsia="Times New Roman" w:ascii="Times New Roman"/>
          <w:sz w:val="23"/>
        </w:rPr>
        <w:t xml:space="preserve">Changes of address and changes of bank account may simply be notified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writing to the Contracting Authority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Changes of bank account must be specified in the request for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payment, using the financial identification form attached as Annex</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IV.</w:t>
      </w:r>
      <w:r>
        <w:rPr>
          <w:rFonts w:cs="Times New Roman" w:hAnsi="Times New Roman" w:eastAsia="Times New Roman" w:ascii="Times New Roman"/>
          <w:sz w:val="23"/>
        </w:rPr>
        <w:t xml:space="preserve"> </w:t>
      </w:r>
    </w:p>
    <w:p>
      <w:pPr>
        <w:spacing w:before="0" w:after="412" w:line="254" w:lineRule="auto"/>
        <w:ind w:left="1276" w:right="420" w:hanging="571"/>
      </w:pPr>
      <w:r>
        <w:rPr>
          <w:rFonts w:cs="Times New Roman" w:hAnsi="Times New Roman" w:eastAsia="Times New Roman" w:ascii="Times New Roman"/>
          <w:sz w:val="23"/>
        </w:rPr>
        <w:t xml:space="preserve">9.3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amendment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not have the purpose or the effect of making changes that would call into question the award decision. In cases the Agreement follows a call for proposals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amendment may not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contrary to the equal treatment of applicants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increase the maximum amount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referred to in Article </w:t>
      </w:r>
      <w:r>
        <w:rPr>
          <w:rFonts w:cs="Times New Roman" w:hAnsi="Times New Roman" w:eastAsia="Times New Roman" w:ascii="Times New Roman"/>
          <w:sz w:val="23"/>
        </w:rPr>
        <w:t xml:space="preserve">3.2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the Special Conditions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pStyle w:val="heading6"/>
        <w:spacing w:before="0" w:after="96" w:line="259" w:lineRule="auto"/>
        <w:ind w:left="-5" w:right="0" w:hanging="10"/>
        <w:jc w:val="left"/>
      </w:pPr>
      <w:r>
        <w:rPr>
          <w:rFonts w:cs="Times New Roman" w:hAnsi="Times New Roman" w:eastAsia="Times New Roman" w:ascii="Times New Roman"/>
          <w:b w:val="1"/>
          <w:i w:val="1"/>
          <w:sz w:val="24"/>
        </w:rPr>
        <w:t xml:space="preserve">Article 10 </w:t>
      </w:r>
      <w:r>
        <w:rPr>
          <w:rFonts w:cs="Times New Roman" w:hAnsi="Times New Roman" w:eastAsia="Times New Roman" w:ascii="Times New Roman"/>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C</w:t>
      </w:r>
      <w:r>
        <w:rPr>
          <w:rFonts w:cs="Times New Roman" w:hAnsi="Times New Roman" w:eastAsia="Times New Roman" w:ascii="Times New Roman"/>
          <w:b w:val="1"/>
          <w:i w:val="1"/>
          <w:sz w:val="18"/>
        </w:rPr>
        <w:t xml:space="preserve">ONTRACTING</w:t>
      </w:r>
      <w:r>
        <w:rPr>
          <w:rFonts w:cs="Times New Roman" w:hAnsi="Times New Roman" w:eastAsia="Times New Roman" w:ascii="Times New Roman"/>
          <w:b w:val="1"/>
          <w:i w:val="1"/>
          <w:sz w:val="23"/>
        </w:rPr>
        <w:t xml:space="preserve"> </w:t>
      </w:r>
    </w:p>
    <w:p>
      <w:pPr>
        <w:spacing w:before="0" w:after="235" w:line="254" w:lineRule="auto"/>
        <w:ind w:left="1306" w:right="413" w:hanging="601"/>
      </w:pPr>
      <w:r>
        <w:rPr>
          <w:rFonts w:cs="Times New Roman" w:hAnsi="Times New Roman" w:eastAsia="Times New Roman" w:ascii="Times New Roman"/>
          <w:sz w:val="23"/>
        </w:rPr>
        <w:t xml:space="preserve">10.1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parts of the Action are contracted, the contracting arrangements, including in particular the principles for the award of procurement and grants,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be as specified in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Description of the Action. If they are not specified therein, the Organisation will present them to the Contracting Authority as soon as they are available. The Organisation will also inform the Contracting Authority, with as much prior notice as possible, of changes in these arrangements. The Organisation will provide detailed information on contracting arrangements in the final report.</w:t>
      </w:r>
      <w:r>
        <w:rPr>
          <w:rFonts w:cs="Times New Roman" w:hAnsi="Times New Roman" w:eastAsia="Times New Roman" w:ascii="Times New Roman"/>
          <w:sz w:val="23"/>
        </w:rPr>
        <w:t xml:space="preserve"> </w:t>
      </w:r>
    </w:p>
    <w:p>
      <w:pPr>
        <w:spacing w:before="0" w:after="279" w:line="254" w:lineRule="auto"/>
        <w:ind w:left="1306" w:right="420" w:hanging="601"/>
      </w:pPr>
      <w:r>
        <w:rPr>
          <w:rFonts w:cs="Times New Roman" w:hAnsi="Times New Roman" w:eastAsia="Times New Roman" w:ascii="Times New Roman"/>
          <w:sz w:val="23"/>
        </w:rPr>
        <w:t xml:space="preserve">10.2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Unless otherwise agreed by the Parties in writing, the procurement of any goods, works or services 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award of grants by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its 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the context of the Action shall be carried out in accordance with the applicable rules and procedures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adopted by the Organisation.</w:t>
      </w:r>
      <w:r>
        <w:rPr>
          <w:rFonts w:cs="Times New Roman" w:hAnsi="Times New Roman" w:eastAsia="Times New Roman" w:ascii="Times New Roman"/>
          <w:sz w:val="23"/>
        </w:rPr>
        <w:t xml:space="preserve"> </w:t>
      </w:r>
    </w:p>
    <w:p>
      <w:pPr>
        <w:spacing w:before="0" w:after="235" w:line="254" w:lineRule="auto"/>
        <w:ind w:left="1276" w:right="205" w:hanging="571"/>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is based on the understanding that the Organisation’s rules and procedures conform to internationally accepted standards, in compliance with the principles of transparency</w:t>
      </w:r>
      <w:r>
        <w:rPr>
          <w:rFonts w:cs="Times New Roman" w:hAnsi="Times New Roman" w:eastAsia="Times New Roman" w:ascii="Times New Roman"/>
          <w:sz w:val="23"/>
        </w:rPr>
        <w:t xml:space="preserve">, </w:t>
      </w:r>
    </w:p>
    <w:p>
      <w:pPr>
        <w:sectPr>
          <w:headerReference w:type="even" r:id="rId83"/>
          <w:headerReference w:type="default" r:id="rId81"/>
          <w:headerReference w:type="first" r:id="rId79"/>
          <w:footerReference w:type="even" r:id="rId84"/>
          <w:footerReference w:type="default" r:id="rId82"/>
          <w:footerReference w:type="first" r:id="rId80"/>
          <w:pgSz w:w="11910" w:h="16845" w:orient="portrait"/>
          <w:pgMar w:left="1427" w:top="627" w:right="977" w:bottom="637"/>
          <w:pgNumType w:start="1" w:fmt="decimal"/>
          <w:cols/>
          <w:titlePg/>
        </w:sectPr>
      </w:pPr>
    </w:p>
    <w:p>
      <w:pPr>
        <w:spacing w:before="0" w:after="235" w:line="254" w:lineRule="auto"/>
        <w:ind w:left="1287" w:right="14"/>
      </w:pPr>
      <w:r>
        <w:rPr>
          <w:rFonts w:cs="Times New Roman" w:hAnsi="Times New Roman" w:eastAsia="Times New Roman" w:ascii="Times New Roman"/>
          <w:sz w:val="23"/>
        </w:rPr>
        <w:t xml:space="preserve">proportionality, sound financial management,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equal treatment and non discrimination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care being taken to avoid any conflict of interests.</w:t>
      </w:r>
      <w:r>
        <w:rPr>
          <w:rFonts w:cs="Times New Roman" w:hAnsi="Times New Roman" w:eastAsia="Times New Roman" w:ascii="Times New Roman"/>
          <w:sz w:val="23"/>
        </w:rPr>
        <w:t xml:space="preserve"> </w:t>
      </w:r>
    </w:p>
    <w:p>
      <w:pPr>
        <w:spacing w:before="0" w:after="235" w:line="254" w:lineRule="auto"/>
        <w:ind w:left="1276" w:right="14" w:hanging="571"/>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Without prejudice to the specific procedures and exceptions applied by the Organisation, the award by the Organisation of grants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financed by the Contracting Authority's contribution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comply with the following principles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0"/>
          <w:numId w:val="28"/>
        </w:numPr>
        <w:spacing w:before="0" w:after="235" w:line="254" w:lineRule="auto"/>
        <w:ind w:left="1487" w:right="14" w:hanging="285"/>
      </w:pPr>
      <w:r>
        <w:rPr>
          <w:rFonts w:cs="Times New Roman" w:hAnsi="Times New Roman" w:eastAsia="Times New Roman" w:ascii="Times New Roman"/>
          <w:sz w:val="23"/>
        </w:rPr>
        <w:t xml:space="preserve">grants shall not be cumulative,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awarded retrospectively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have the purpose or effect of producing a profit for the grant beneficiary;</w:t>
      </w:r>
      <w:r>
        <w:rPr>
          <w:rFonts w:cs="Times New Roman" w:hAnsi="Times New Roman" w:eastAsia="Times New Roman" w:ascii="Times New Roman"/>
          <w:sz w:val="23"/>
        </w:rPr>
        <w:t xml:space="preserve"> </w:t>
      </w:r>
    </w:p>
    <w:p>
      <w:pPr>
        <w:numPr>
          <w:ilvl w:val="0"/>
          <w:numId w:val="28"/>
        </w:numPr>
        <w:spacing w:before="0" w:after="235" w:line="254" w:lineRule="auto"/>
        <w:ind w:left="1487" w:right="14" w:hanging="285"/>
      </w:pPr>
      <w:r>
        <w:rPr>
          <w:rFonts w:cs="Times New Roman" w:hAnsi="Times New Roman" w:eastAsia="Times New Roman" w:ascii="Times New Roman"/>
          <w:sz w:val="23"/>
        </w:rPr>
        <w:t xml:space="preserve">grants must involve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from other donors, save in cases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humanitarian and crisis situation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protection of health</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fundamental rights of people, where the grant beneficiaries are third countries or other international organisations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it is in the interest of the European Union to be the sole donor.</w:t>
      </w:r>
      <w:r>
        <w:rPr>
          <w:rFonts w:cs="Times New Roman" w:hAnsi="Times New Roman" w:eastAsia="Times New Roman" w:ascii="Times New Roman"/>
          <w:sz w:val="23"/>
        </w:rPr>
        <w:t xml:space="preserve"> </w:t>
      </w:r>
    </w:p>
    <w:p>
      <w:pPr>
        <w:numPr>
          <w:ilvl w:val="1"/>
          <w:numId w:val="29"/>
        </w:numPr>
        <w:spacing w:before="0" w:after="235" w:line="254" w:lineRule="auto"/>
        <w:ind w:left="1306" w:right="14" w:hanging="601"/>
      </w:pPr>
      <w:r>
        <w:rPr>
          <w:rFonts w:cs="Times New Roman" w:hAnsi="Times New Roman" w:eastAsia="Times New Roman" w:ascii="Times New Roman"/>
          <w:sz w:val="23"/>
        </w:rPr>
        <w:t xml:space="preserve">Unless otherwise provided for in the Special Conditions, the origin of the goods and the nationality of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organisations,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companies and experts selected for carrying out activities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the Action shall be determined in accordance with the Organisation’s relevant rules.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However, and in any event goods, organisations, companies and experts eligible under the applicable regulatory provisions of the European Union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eligible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1"/>
          <w:numId w:val="29"/>
        </w:numPr>
        <w:spacing w:before="0" w:after="235" w:line="254" w:lineRule="auto"/>
        <w:ind w:left="1306" w:right="14" w:hanging="601"/>
      </w:pPr>
      <w:r>
        <w:rPr>
          <w:rFonts w:cs="Times New Roman" w:hAnsi="Times New Roman" w:eastAsia="Times New Roman" w:ascii="Times New Roman"/>
          <w:sz w:val="23"/>
        </w:rPr>
        <w:t xml:space="preserve">The Organisation shall adopt reasonable measures, in accordance with</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its own procedures, to ensure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that potential candidates or tenderers and grant beneficiaries shall be excluded from</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participation in a procurement or award procedure financed by the Contracting Authority's contribution, if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35" w:line="254" w:lineRule="auto"/>
        <w:ind w:left="1487" w:right="14" w:hanging="285"/>
      </w:pPr>
      <w:r>
        <w:rPr>
          <w:rFonts w:cs="Times New Roman" w:hAnsi="Times New Roman" w:eastAsia="Times New Roman" w:ascii="Times New Roman"/>
          <w:sz w:val="23"/>
        </w:rPr>
        <w:t xml:space="preserve">a. they are bankrupt or being wound up, are having their affairs administered by the courts, have entered into an arrangement with creditors, have suspended business activities, are the subject of proceedings concerning those matters, or are in any analogous situation arising from a similar procedure provided for in national legislation or regulations;</w:t>
      </w:r>
      <w:r>
        <w:rPr>
          <w:rFonts w:cs="Times New Roman" w:hAnsi="Times New Roman" w:eastAsia="Times New Roman" w:ascii="Times New Roman"/>
          <w:sz w:val="23"/>
        </w:rPr>
        <w:t xml:space="preserve"> </w:t>
      </w:r>
    </w:p>
    <w:p>
      <w:pPr>
        <w:numPr>
          <w:ilvl w:val="0"/>
          <w:numId w:val="30"/>
        </w:numPr>
        <w:spacing w:before="0" w:after="235" w:line="254" w:lineRule="auto"/>
        <w:ind w:left="1487" w:right="14" w:hanging="285"/>
      </w:pPr>
      <w:r>
        <w:rPr>
          <w:rFonts w:cs="Times New Roman" w:hAnsi="Times New Roman" w:eastAsia="Times New Roman" w:ascii="Times New Roman"/>
          <w:sz w:val="23"/>
        </w:rPr>
        <w:t xml:space="preserve">b. they or persons having powers of representation, decision making or control over them have been convicted of an offence concerning their professional conduct by a judgement of a competent authority of a Member State which has the force of res judicata;</w:t>
      </w:r>
      <w:r>
        <w:rPr>
          <w:rFonts w:cs="Times New Roman" w:hAnsi="Times New Roman" w:eastAsia="Times New Roman" w:ascii="Times New Roman"/>
          <w:sz w:val="23"/>
        </w:rPr>
        <w:t xml:space="preserve"> </w:t>
      </w:r>
    </w:p>
    <w:p>
      <w:pPr>
        <w:numPr>
          <w:ilvl w:val="0"/>
          <w:numId w:val="30"/>
        </w:numPr>
        <w:spacing w:before="0" w:after="235" w:line="254" w:lineRule="auto"/>
        <w:ind w:left="1487" w:right="14" w:hanging="285"/>
      </w:pPr>
      <w:r>
        <w:rPr>
          <w:rFonts w:cs="Times New Roman" w:hAnsi="Times New Roman" w:eastAsia="Times New Roman" w:ascii="Times New Roman"/>
          <w:sz w:val="23"/>
        </w:rPr>
        <w:t xml:space="preserve">c. they or persons having powers of representation, decision making or control over them have been the subject of a judgement which has the force of res judicata for fraud, corruption, involvement in a criminal organisation, money laundering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any other illegal activity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detrimental to the EU's financial interests</w:t>
      </w:r>
      <w:r>
        <w:rPr>
          <w:rFonts w:cs="Times New Roman" w:hAnsi="Times New Roman" w:eastAsia="Times New Roman" w:ascii="Times New Roman"/>
          <w:sz w:val="23"/>
        </w:rPr>
        <w:t xml:space="preserve">;  </w:t>
      </w:r>
    </w:p>
    <w:p>
      <w:pPr>
        <w:numPr>
          <w:ilvl w:val="0"/>
          <w:numId w:val="30"/>
        </w:numPr>
        <w:spacing w:before="0" w:after="235" w:line="254" w:lineRule="auto"/>
        <w:ind w:left="1487" w:right="14" w:hanging="285"/>
      </w:pPr>
      <w:r>
        <w:rPr>
          <w:rFonts w:cs="Times New Roman" w:hAnsi="Times New Roman" w:eastAsia="Times New Roman" w:ascii="Times New Roman"/>
          <w:sz w:val="23"/>
        </w:rPr>
        <w:t xml:space="preserve">d. they are guilty of misrepresentation in supplying the information required as a condition of participation in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procedure 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they fail to supply this information.</w:t>
      </w:r>
      <w:r>
        <w:rPr>
          <w:rFonts w:cs="Times New Roman" w:hAnsi="Times New Roman" w:eastAsia="Times New Roman" w:ascii="Times New Roman"/>
          <w:sz w:val="23"/>
        </w:rPr>
        <w:t xml:space="preserve"> </w:t>
      </w:r>
    </w:p>
    <w:p>
      <w:pPr>
        <w:numPr>
          <w:ilvl w:val="0"/>
          <w:numId w:val="30"/>
        </w:numPr>
        <w:spacing w:before="0" w:after="235" w:line="254" w:lineRule="auto"/>
        <w:ind w:left="1487" w:right="14" w:hanging="285"/>
      </w:pPr>
      <w:r>
        <w:rPr>
          <w:rFonts w:cs="Times New Roman" w:hAnsi="Times New Roman" w:eastAsia="Times New Roman" w:ascii="Times New Roman"/>
          <w:sz w:val="23"/>
        </w:rPr>
        <w:t xml:space="preserve">e. they are subject to a</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conflict of interests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color w:val="1f497d"/>
          <w:sz w:val="23"/>
        </w:rPr>
        <w:t xml:space="preserve"> </w:t>
      </w:r>
    </w:p>
    <w:p>
      <w:pPr>
        <w:spacing w:before="0" w:after="235" w:line="254" w:lineRule="auto"/>
        <w:ind w:left="1427" w:right="14" w:hanging="1427"/>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inform the European Commission when a candidate or tenderer is in one of the situations under point (c) or when a contractor financed from the present contribution has been found guilty of making false declarations or committing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substantial errors, irregularities and fraud. </w:t>
      </w:r>
      <w:r>
        <w:rPr>
          <w:rFonts w:cs="Times New Roman" w:hAnsi="Times New Roman" w:eastAsia="Times New Roman" w:ascii="Times New Roman"/>
          <w:sz w:val="17"/>
        </w:rPr>
        <w:t xml:space="preserve">  </w:t>
      </w:r>
      <w:r>
        <w:rPr>
          <w:rFonts w:cs="Times New Roman" w:hAnsi="Times New Roman" w:eastAsia="Times New Roman" w:ascii="Times New Roman"/>
          <w:sz w:val="23"/>
        </w:rPr>
        <w:t xml:space="preserve"> </w:t>
      </w:r>
    </w:p>
    <w:p>
      <w:pPr>
        <w:spacing w:before="0" w:after="235" w:line="254" w:lineRule="auto"/>
        <w:ind w:left="1427" w:right="14" w:hanging="1427"/>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Without prejudice to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power of the European Commission or of the Contracting Authority to exclude an entity from future contracts and grants financed by the EU, financial penalties may be imposed to contractors by the Organisation according to its own rules and procedures</w:t>
      </w:r>
      <w:r>
        <w:rPr>
          <w:rFonts w:cs="Times New Roman" w:hAnsi="Times New Roman" w:eastAsia="Times New Roman" w:ascii="Times New Roman"/>
          <w:sz w:val="23"/>
        </w:rPr>
        <w:t xml:space="preserve">.</w:t>
      </w:r>
      <w:r>
        <w:rPr>
          <w:rFonts w:cs="Times New Roman" w:hAnsi="Times New Roman" w:eastAsia="Times New Roman" w:ascii="Times New Roman"/>
          <w:sz w:val="17"/>
        </w:rPr>
        <w:t xml:space="preserve"> </w:t>
      </w:r>
      <w:r>
        <w:rPr>
          <w:color w:val="1f497d"/>
          <w:sz w:val="23"/>
        </w:rPr>
        <w:t xml:space="preserve"> </w:t>
      </w:r>
    </w:p>
    <w:p>
      <w:pPr>
        <w:spacing w:before="0" w:after="0" w:line="259" w:lineRule="auto"/>
        <w:ind w:left="0" w:right="0" w:firstLine="0"/>
        <w:jc w:val="left"/>
      </w:pPr>
      <w:r>
        <w:rPr>
          <w:rFonts w:cs="Times New Roman" w:hAnsi="Times New Roman" w:eastAsia="Times New Roman" w:ascii="Times New Roman"/>
          <w:sz w:val="23"/>
        </w:rPr>
        <w:t xml:space="preserve"> </w:t>
      </w:r>
    </w:p>
    <w:p>
      <w:pPr>
        <w:spacing w:before="0" w:after="429" w:line="254" w:lineRule="auto"/>
        <w:ind w:left="1306" w:right="14" w:hanging="601"/>
      </w:pPr>
      <w:r>
        <w:rPr>
          <w:rFonts w:cs="Times New Roman" w:hAnsi="Times New Roman" w:eastAsia="Times New Roman" w:ascii="Times New Roman"/>
          <w:sz w:val="23"/>
        </w:rPr>
        <w:t xml:space="preserve">10.5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the event of failure to comply with the above provisions the relevant costs may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declared ineligible for funding by the Contracting Authority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by the European Commission, at the latest before acceptance of the Final Report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11 </w:t>
      </w:r>
      <w:r>
        <w:rPr>
          <w:rFonts w:cs="Times New Roman" w:hAnsi="Times New Roman" w:eastAsia="Times New Roman" w:ascii="Times New Roman"/>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I</w:t>
      </w:r>
      <w:r>
        <w:rPr>
          <w:rFonts w:cs="Times New Roman" w:hAnsi="Times New Roman" w:eastAsia="Times New Roman" w:ascii="Times New Roman"/>
          <w:sz w:val="18"/>
        </w:rPr>
        <w:t xml:space="preserve">MPLEMENTATION PERIOD</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THE </w:t>
      </w:r>
      <w:r>
        <w:rPr>
          <w:rFonts w:cs="Times New Roman" w:hAnsi="Times New Roman" w:eastAsia="Times New Roman" w:ascii="Times New Roman"/>
          <w:sz w:val="23"/>
        </w:rPr>
        <w:t xml:space="preserve">A</w:t>
      </w:r>
      <w:r>
        <w:rPr>
          <w:rFonts w:cs="Times New Roman" w:hAnsi="Times New Roman" w:eastAsia="Times New Roman" w:ascii="Times New Roman"/>
          <w:sz w:val="18"/>
        </w:rPr>
        <w:t xml:space="preserve">GREEMENT</w:t>
      </w:r>
      <w:r>
        <w:rPr>
          <w:rFonts w:cs="Times New Roman" w:hAnsi="Times New Roman" w:eastAsia="Times New Roman" w:ascii="Times New Roman"/>
          <w:sz w:val="23"/>
        </w:rPr>
        <w:t xml:space="preserve">,</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SUSPENSION</w:t>
      </w:r>
      <w:r>
        <w:rPr>
          <w:rFonts w:cs="Times New Roman" w:hAnsi="Times New Roman" w:eastAsia="Times New Roman" w:ascii="Times New Roman"/>
          <w:sz w:val="23"/>
        </w:rPr>
        <w:t xml:space="preserve">,</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FORCE MAJEURE</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11.1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Irrespective of the starting date and implementation period of the project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programme or action of the Organisation, the Implementation Period of this Agreement shall be as set out in Article 2 of the Special Conditions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p>
    <w:p>
      <w:pPr>
        <w:spacing w:before="0" w:after="235" w:line="254" w:lineRule="auto"/>
        <w:ind w:left="1276" w:right="14" w:hanging="571"/>
      </w:pPr>
      <w:r>
        <w:rPr>
          <w:rFonts w:cs="Times New Roman" w:hAnsi="Times New Roman" w:eastAsia="Times New Roman" w:ascii="Times New Roman"/>
          <w:sz w:val="23"/>
        </w:rPr>
        <w:t xml:space="preserve">11.2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individual contracts implementing the Action under this Agreement shall be concluded as specified in Article 2.5 of the Special Conditions. This contracting deadline also applies to all the individual contracts signed by the Implementing partner(s). After this contracting deadline and up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submission of Final Report, only contracts concerning final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audits, evaluation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closure activities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individual contracts concluded after early termination of an existing contract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be concluded. The deadline for conclusion of individual contracts implementing the Action under the Agreement set out in Article 2.5 of the Special Conditions cannot be extended.</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11.3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may suspend without delay implementation of all or part of the Action if circumstances so require, in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particular in case of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informs the Contracting Authority immediately providing all the necessary details. This Agreement may be terminated in accordance with Article </w:t>
      </w:r>
      <w:r>
        <w:rPr>
          <w:rFonts w:cs="Times New Roman" w:hAnsi="Times New Roman" w:eastAsia="Times New Roman" w:ascii="Times New Roman"/>
          <w:sz w:val="23"/>
        </w:rPr>
        <w:t xml:space="preserve">12.1</w:t>
      </w:r>
      <w:r>
        <w:rPr>
          <w:rFonts w:cs="Times New Roman" w:hAnsi="Times New Roman" w:eastAsia="Times New Roman" w:ascii="Times New Roman"/>
          <w:sz w:val="23"/>
        </w:rPr>
        <w:t xml:space="preserve">. If the Agreement is not terminated, the Organisation shall endeavour to minimise the duration of the suspension and may resume implementation of the Action once the conditions allow, and shall inform the Contracting Authority accordingly.</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11.4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may request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to suspend implementation of all or part of the Action if circumstances so require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particular in cases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in cases such as crisis entailing a change of policy.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Agreement may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then be subsequently terminated in accordance with Article </w:t>
      </w:r>
      <w:r>
        <w:rPr>
          <w:rFonts w:cs="Times New Roman" w:hAnsi="Times New Roman" w:eastAsia="Times New Roman" w:ascii="Times New Roman"/>
          <w:sz w:val="23"/>
        </w:rPr>
        <w:t xml:space="preserve">12.1</w:t>
      </w:r>
      <w:r>
        <w:rPr>
          <w:rFonts w:cs="Times New Roman" w:hAnsi="Times New Roman" w:eastAsia="Times New Roman" w:ascii="Times New Roman"/>
          <w:sz w:val="23"/>
        </w:rPr>
        <w:t xml:space="preserve">. If the Agreement is not terminated, the Organisation and the Contracting Authority shall endeavour to minimise the duration of the suspension 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resume implementation of the Action once the conditions allow, with the prior written approval of the Contracting Authority.</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11.5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Implementation Period of this Agreement is automatically extended by an amount of time equivalent to the duration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the suspension. This is without prejudice to any amendments to the Agreement which may be necessary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 adapt the Action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new implementing conditions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to Article 12.1, or to a termination in accordance with Article </w:t>
      </w:r>
      <w:r>
        <w:rPr>
          <w:rFonts w:cs="Times New Roman" w:hAnsi="Times New Roman" w:eastAsia="Times New Roman" w:ascii="Times New Roman"/>
          <w:sz w:val="23"/>
        </w:rPr>
        <w:t xml:space="preserve">12.1.</w:t>
      </w:r>
      <w:r>
        <w:rPr>
          <w:rFonts w:cs="Times New Roman" w:hAnsi="Times New Roman" w:eastAsia="Times New Roman" w:ascii="Times New Roman"/>
          <w:sz w:val="23"/>
        </w:rPr>
        <w:t xml:space="preserve"> </w:t>
      </w:r>
    </w:p>
    <w:p>
      <w:pPr>
        <w:tabs>
          <w:tab w:val="center" w:pos="912"/>
          <w:tab w:val="right" w:pos="9103"/>
        </w:tabs>
        <w:spacing w:before="0" w:after="28"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11.6</w:t>
      </w:r>
      <w:r>
        <w:rPr>
          <w:rFonts w:cs="Times New Roman" w:hAnsi="Times New Roman" w:eastAsia="Times New Roman" w:ascii="Times New Roman"/>
          <w:sz w:val="23"/>
        </w:rPr>
        <w:t xml:space="preserve">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mean any unforeseeable exceptional situation or event beyond the </w:t>
      </w:r>
    </w:p>
    <w:p>
      <w:pPr>
        <w:spacing w:before="0" w:after="422" w:line="254" w:lineRule="auto"/>
        <w:ind w:left="1332" w:right="14"/>
      </w:pPr>
      <w:r>
        <w:rPr>
          <w:rFonts w:cs="Times New Roman" w:hAnsi="Times New Roman" w:eastAsia="Times New Roman" w:ascii="Times New Roman"/>
          <w:sz w:val="23"/>
        </w:rPr>
        <w:t xml:space="preserve">Parties’ control which prevents either of them from fulfilling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any of their obligations under this Agreement, was not attributable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 error or negligence on their part (or of their partners, contractors, agents or employees), and could not have been avoided by the exercise of due diligence. Defects in equipment or material or delays in making them</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available, labour disputes, strikes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financial problems cannot be invoked as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by the defaulting party. Neither of the Parties shall be held liable for breach of its obligations under the Agreement if it is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prevented from fulfilling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them by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Without prejudice to Articles </w:t>
      </w:r>
      <w:r>
        <w:rPr>
          <w:rFonts w:cs="Times New Roman" w:hAnsi="Times New Roman" w:eastAsia="Times New Roman" w:ascii="Times New Roman"/>
          <w:sz w:val="23"/>
        </w:rPr>
        <w:t xml:space="preserve">11.3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w:t>
      </w:r>
      <w:r>
        <w:rPr>
          <w:rFonts w:cs="Times New Roman" w:hAnsi="Times New Roman" w:eastAsia="Times New Roman" w:ascii="Times New Roman"/>
          <w:sz w:val="23"/>
        </w:rPr>
        <w:t xml:space="preserve">11.4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above, the Party invoking </w:t>
      </w:r>
      <w:r>
        <w:rPr>
          <w:rFonts w:cs="Times New Roman" w:hAnsi="Times New Roman" w:eastAsia="Times New Roman" w:ascii="Times New Roman"/>
          <w:i w:val="1"/>
          <w:sz w:val="23"/>
        </w:rPr>
        <w:t xml:space="preserve">force majeure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notify the other without delay, stating the nature, likely duration and foreseeable effect, and take any measure to minimise possible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damage.</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12 </w:t>
      </w:r>
      <w:r>
        <w:rPr>
          <w:rFonts w:cs="Times New Roman" w:hAnsi="Times New Roman" w:eastAsia="Times New Roman" w:ascii="Times New Roman"/>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T</w:t>
      </w:r>
      <w:r>
        <w:rPr>
          <w:rFonts w:cs="Times New Roman" w:hAnsi="Times New Roman" w:eastAsia="Times New Roman" w:ascii="Times New Roman"/>
          <w:sz w:val="18"/>
        </w:rPr>
        <w:t xml:space="preserve">ERMINATION OF THE </w:t>
      </w:r>
      <w:r>
        <w:rPr>
          <w:rFonts w:cs="Times New Roman" w:hAnsi="Times New Roman" w:eastAsia="Times New Roman" w:ascii="Times New Roman"/>
          <w:sz w:val="23"/>
        </w:rPr>
        <w:t xml:space="preserve">A</w:t>
      </w:r>
      <w:r>
        <w:rPr>
          <w:rFonts w:cs="Times New Roman" w:hAnsi="Times New Roman" w:eastAsia="Times New Roman" w:ascii="Times New Roman"/>
          <w:sz w:val="18"/>
        </w:rPr>
        <w:t xml:space="preserve">GREEMENT</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12.1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at any time, either Party believes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that the purposes of this Agreement can no longer be effectively or appropriately carried out, it shall consult the other Party. Failing agreement on a</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solution, either Party may terminate this Agreement by serving two months’ written notice. In this event, the Organisation shall be entitled to payment of the contribution only for the part of the Action carried out, and to reimbursement of commitments entered into by the Organisation for the implementation of the Action, which the Organisation cannot reasonably terminate on legal grounds.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part of the EU contribution unspent or not spent in accordance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 this Agreement, shall be recovered by the Contracting Authority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accordance with Articles 17 and 18</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after 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liabilities incurred by the Organisation have been satisfied, including interest earned where applicable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tabs>
          <w:tab w:val="center" w:pos="912"/>
          <w:tab w:val="center" w:pos="2403"/>
        </w:tabs>
        <w:spacing w:before="0" w:after="235"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12.2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Organisation:</w:t>
      </w:r>
      <w:r>
        <w:rPr>
          <w:rFonts w:cs="Times New Roman" w:hAnsi="Times New Roman" w:eastAsia="Times New Roman" w:ascii="Times New Roman"/>
          <w:sz w:val="23"/>
        </w:rPr>
        <w:t xml:space="preserve"> </w:t>
      </w:r>
    </w:p>
    <w:p>
      <w:pPr>
        <w:numPr>
          <w:ilvl w:val="0"/>
          <w:numId w:val="31"/>
        </w:numPr>
        <w:spacing w:before="0" w:after="235" w:line="254" w:lineRule="auto"/>
        <w:ind w:left="1487" w:right="14" w:hanging="285"/>
      </w:pPr>
      <w:r>
        <w:rPr>
          <w:rFonts w:cs="Times New Roman" w:hAnsi="Times New Roman" w:eastAsia="Times New Roman" w:ascii="Times New Roman"/>
          <w:sz w:val="23"/>
        </w:rPr>
        <w:t xml:space="preserve">fails, without justification, to fulfil any of the obligations incumbent on it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after being given notice by letter to comply with those obligations, still fails to do so or to furnish a satisfactory explanation within 30 days of sending of the letter;</w:t>
      </w:r>
      <w:r>
        <w:rPr>
          <w:rFonts w:cs="Times New Roman" w:hAnsi="Times New Roman" w:eastAsia="Times New Roman" w:ascii="Times New Roman"/>
          <w:sz w:val="23"/>
        </w:rPr>
        <w:t xml:space="preserve"> </w:t>
      </w:r>
    </w:p>
    <w:p>
      <w:pPr>
        <w:numPr>
          <w:ilvl w:val="0"/>
          <w:numId w:val="31"/>
        </w:numPr>
        <w:spacing w:before="0" w:after="235" w:line="254" w:lineRule="auto"/>
        <w:ind w:left="1487" w:right="14" w:hanging="285"/>
      </w:pPr>
      <w:r>
        <w:rPr>
          <w:rFonts w:cs="Times New Roman" w:hAnsi="Times New Roman" w:eastAsia="Times New Roman" w:ascii="Times New Roman"/>
          <w:sz w:val="23"/>
        </w:rPr>
        <w:t xml:space="preserve">fails to comply with articles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1.5, 1.6</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w:t>
      </w:r>
      <w:r>
        <w:rPr>
          <w:rFonts w:cs="Times New Roman" w:hAnsi="Times New Roman" w:eastAsia="Times New Roman" w:ascii="Times New Roman"/>
          <w:sz w:val="23"/>
        </w:rPr>
        <w:t xml:space="preserve">4</w:t>
      </w:r>
      <w:r>
        <w:rPr>
          <w:rFonts w:cs="Times New Roman" w:hAnsi="Times New Roman" w:eastAsia="Times New Roman" w:ascii="Times New Roman"/>
          <w:sz w:val="23"/>
        </w:rPr>
        <w:t xml:space="preserve">; </w:t>
      </w:r>
    </w:p>
    <w:p>
      <w:pPr>
        <w:numPr>
          <w:ilvl w:val="0"/>
          <w:numId w:val="31"/>
        </w:numPr>
        <w:spacing w:before="0" w:after="5" w:line="254" w:lineRule="auto"/>
        <w:ind w:left="1487" w:right="14" w:hanging="285"/>
      </w:pPr>
      <w:r>
        <w:rPr>
          <w:rFonts w:cs="Times New Roman" w:hAnsi="Times New Roman" w:eastAsia="Times New Roman" w:ascii="Times New Roman"/>
          <w:sz w:val="23"/>
        </w:rPr>
        <w:t xml:space="preserve">makes false or incomplete statements to obtain the contribution provided for in the </w:t>
      </w:r>
    </w:p>
    <w:p>
      <w:pPr>
        <w:spacing w:before="0" w:after="235" w:line="254" w:lineRule="auto"/>
        <w:ind w:left="1497" w:right="14"/>
      </w:pPr>
      <w:r>
        <w:rPr>
          <w:rFonts w:cs="Times New Roman" w:hAnsi="Times New Roman" w:eastAsia="Times New Roman" w:ascii="Times New Roman"/>
          <w:sz w:val="23"/>
        </w:rPr>
        <w:t xml:space="preserve">Agreement or provides reports that do not reflect reality;</w:t>
      </w:r>
      <w:r>
        <w:rPr>
          <w:rFonts w:cs="Times New Roman" w:hAnsi="Times New Roman" w:eastAsia="Times New Roman" w:ascii="Times New Roman"/>
          <w:sz w:val="23"/>
        </w:rPr>
        <w:t xml:space="preserve"> </w:t>
      </w:r>
    </w:p>
    <w:p>
      <w:pPr>
        <w:numPr>
          <w:ilvl w:val="0"/>
          <w:numId w:val="31"/>
        </w:numPr>
        <w:spacing w:before="0" w:after="235" w:line="254" w:lineRule="auto"/>
        <w:ind w:left="1487" w:right="14" w:hanging="285"/>
      </w:pPr>
      <w:r>
        <w:rPr>
          <w:rFonts w:cs="Times New Roman" w:hAnsi="Times New Roman" w:eastAsia="Times New Roman" w:ascii="Times New Roman"/>
          <w:sz w:val="23"/>
        </w:rPr>
        <w:t xml:space="preserve">commits financial irregularities or is guilty of grave professional misconduct;</w:t>
      </w:r>
      <w:r>
        <w:rPr>
          <w:rFonts w:cs="Times New Roman" w:hAnsi="Times New Roman" w:eastAsia="Times New Roman" w:ascii="Times New Roman"/>
          <w:sz w:val="23"/>
        </w:rPr>
        <w:t xml:space="preserve"> </w:t>
      </w:r>
    </w:p>
    <w:p>
      <w:pPr>
        <w:numPr>
          <w:ilvl w:val="0"/>
          <w:numId w:val="31"/>
        </w:numPr>
        <w:spacing w:before="0" w:after="235" w:line="254" w:lineRule="auto"/>
        <w:ind w:left="1487" w:right="14" w:hanging="285"/>
      </w:pPr>
      <w:r>
        <w:rPr>
          <w:rFonts w:cs="Times New Roman" w:hAnsi="Times New Roman" w:eastAsia="Times New Roman" w:ascii="Times New Roman"/>
          <w:sz w:val="23"/>
        </w:rPr>
        <w:t xml:space="preserve">undergoes legal, financial, technical or organisational change that is liable to affect this Agreement substantially or to call the award decision into question;</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Contracting Authority will enter into discussions with the Organisation and, failing a proper solution within one month, may terminate this Agreement, after giving seven days'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notice,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without paying compensation of any kind. In that event the Contracting Authority may demand full or partial repayment of any amounts unduly paid, after allowing the Organisation to submit its observations.</w:t>
      </w:r>
      <w:r>
        <w:rPr>
          <w:rFonts w:cs="Times New Roman" w:hAnsi="Times New Roman" w:eastAsia="Times New Roman" w:ascii="Times New Roman"/>
          <w:sz w:val="23"/>
        </w:rPr>
        <w:t xml:space="preserve"> </w:t>
      </w:r>
    </w:p>
    <w:p>
      <w:pPr>
        <w:numPr>
          <w:ilvl w:val="1"/>
          <w:numId w:val="32"/>
        </w:numPr>
        <w:spacing w:before="0" w:after="235" w:line="254" w:lineRule="auto"/>
        <w:ind w:left="1306" w:right="14" w:hanging="601"/>
      </w:pPr>
      <w:r>
        <w:rPr>
          <w:rFonts w:cs="Times New Roman" w:hAnsi="Times New Roman" w:eastAsia="Times New Roman" w:ascii="Times New Roman"/>
          <w:sz w:val="23"/>
        </w:rPr>
        <w:t xml:space="preserve">Prior to or instead of terminating the Agreement as provided for in Article </w:t>
      </w:r>
      <w:r>
        <w:rPr>
          <w:rFonts w:cs="Times New Roman" w:hAnsi="Times New Roman" w:eastAsia="Times New Roman" w:ascii="Times New Roman"/>
          <w:sz w:val="23"/>
        </w:rPr>
        <w:t xml:space="preserve">12.2</w:t>
      </w:r>
      <w:r>
        <w:rPr>
          <w:rFonts w:cs="Times New Roman" w:hAnsi="Times New Roman" w:eastAsia="Times New Roman" w:ascii="Times New Roman"/>
          <w:sz w:val="23"/>
        </w:rPr>
        <w:t xml:space="preserve">, the Contracting Authority may suspend payments or the declaration of eligibility of expenses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as a precautionary measure, informing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immediately</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1"/>
          <w:numId w:val="32"/>
        </w:numPr>
        <w:spacing w:before="0" w:after="235" w:line="254" w:lineRule="auto"/>
        <w:ind w:left="1306" w:right="14" w:hanging="601"/>
      </w:pPr>
      <w:r>
        <w:rPr>
          <w:rFonts w:cs="Times New Roman" w:hAnsi="Times New Roman" w:eastAsia="Times New Roman" w:ascii="Times New Roman"/>
          <w:sz w:val="23"/>
        </w:rPr>
        <w:t xml:space="preserve">This Agreement shall be automatically terminated if it has not given rise to a payment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by the Contracting Authority (including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within two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years of its signature.</w:t>
      </w:r>
      <w:r>
        <w:rPr>
          <w:rFonts w:cs="Times New Roman" w:hAnsi="Times New Roman" w:eastAsia="Times New Roman" w:ascii="Times New Roman"/>
          <w:sz w:val="23"/>
        </w:rPr>
        <w:t xml:space="preserve"> </w:t>
      </w:r>
    </w:p>
    <w:p>
      <w:pPr>
        <w:numPr>
          <w:ilvl w:val="1"/>
          <w:numId w:val="32"/>
        </w:numPr>
        <w:spacing w:before="0" w:after="235" w:line="254" w:lineRule="auto"/>
        <w:ind w:left="1306" w:right="14" w:hanging="601"/>
      </w:pPr>
      <w:r>
        <w:rPr>
          <w:rFonts w:cs="Times New Roman" w:hAnsi="Times New Roman" w:eastAsia="Times New Roman" w:ascii="Times New Roman"/>
          <w:sz w:val="23"/>
        </w:rPr>
        <w:t xml:space="preserve">Unless this Agreement is terminated earlier pursuant to Article </w:t>
      </w:r>
      <w:r>
        <w:rPr>
          <w:rFonts w:cs="Times New Roman" w:hAnsi="Times New Roman" w:eastAsia="Times New Roman" w:ascii="Times New Roman"/>
          <w:sz w:val="23"/>
        </w:rPr>
        <w:t xml:space="preserve">12</w:t>
      </w:r>
      <w:r>
        <w:rPr>
          <w:rFonts w:cs="Times New Roman" w:hAnsi="Times New Roman" w:eastAsia="Times New Roman" w:ascii="Times New Roman"/>
          <w:sz w:val="23"/>
        </w:rPr>
        <w:t xml:space="preserve">, the payment obligations of the European Union hereunder shall cease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at the “end date”, which shall </w:t>
      </w:r>
    </w:p>
    <w:p>
      <w:pPr>
        <w:spacing w:before="0" w:after="235" w:line="254" w:lineRule="auto"/>
        <w:ind w:left="1332" w:right="14"/>
      </w:pPr>
      <w:r>
        <w:rPr>
          <w:rFonts w:cs="Times New Roman" w:hAnsi="Times New Roman" w:eastAsia="Times New Roman" w:ascii="Times New Roman"/>
          <w:sz w:val="23"/>
        </w:rPr>
        <w:t xml:space="preserve">occur 18 months after the end of the Implementation Period as defined in Article 2 of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Special Conditions.</w:t>
      </w:r>
      <w:r>
        <w:rPr>
          <w:rFonts w:cs="Times New Roman" w:hAnsi="Times New Roman" w:eastAsia="Times New Roman" w:ascii="Times New Roman"/>
          <w:sz w:val="23"/>
        </w:rPr>
        <w:t xml:space="preserve"> </w:t>
      </w:r>
    </w:p>
    <w:p>
      <w:pPr>
        <w:spacing w:before="0" w:after="420" w:line="254" w:lineRule="auto"/>
        <w:ind w:left="1287" w:right="14"/>
      </w:pPr>
      <w:r>
        <w:rPr>
          <w:rFonts w:cs="Times New Roman" w:hAnsi="Times New Roman" w:eastAsia="Times New Roman" w:ascii="Times New Roman"/>
          <w:sz w:val="23"/>
        </w:rPr>
        <w:t xml:space="preserve">The Contracting Authority shall notify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of any postponement of the end date.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shall postpone the end date, so as to be able to fulfil its payment obligations, in all cases where the Organisation has filed the payment request in accordance with contractual provisions or, in case of dispute, until completion of the dispute settlement procedure provided for in Article </w:t>
      </w:r>
      <w:r>
        <w:rPr>
          <w:rFonts w:cs="Times New Roman" w:hAnsi="Times New Roman" w:eastAsia="Times New Roman" w:ascii="Times New Roman"/>
          <w:sz w:val="23"/>
        </w:rPr>
        <w:t xml:space="preserve">13.</w:t>
      </w:r>
      <w:r>
        <w:rPr>
          <w:rFonts w:cs="Times New Roman" w:hAnsi="Times New Roman" w:eastAsia="Times New Roman" w:ascii="Times New Roman"/>
          <w:sz w:val="23"/>
        </w:rPr>
        <w:t xml:space="preserve"> </w:t>
      </w:r>
    </w:p>
    <w:p>
      <w:pPr>
        <w:pStyle w:val="heading6"/>
        <w:spacing w:before="0" w:after="99" w:line="259" w:lineRule="auto"/>
        <w:ind w:left="-5" w:right="0" w:hanging="10"/>
        <w:jc w:val="left"/>
      </w:pPr>
      <w:r>
        <w:rPr>
          <w:rFonts w:cs="Times New Roman" w:hAnsi="Times New Roman" w:eastAsia="Times New Roman" w:ascii="Times New Roman"/>
          <w:b w:val="1"/>
          <w:i w:val="1"/>
          <w:sz w:val="24"/>
        </w:rPr>
        <w:t xml:space="preserve">Article 13 </w:t>
      </w:r>
      <w:r>
        <w:rPr>
          <w:rFonts w:cs="Times New Roman" w:hAnsi="Times New Roman" w:eastAsia="Times New Roman" w:ascii="Times New Roman"/>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S</w:t>
      </w:r>
      <w:r>
        <w:rPr>
          <w:rFonts w:cs="Times New Roman" w:hAnsi="Times New Roman" w:eastAsia="Times New Roman" w:ascii="Times New Roman"/>
          <w:b w:val="1"/>
          <w:i w:val="1"/>
          <w:sz w:val="18"/>
        </w:rPr>
        <w:t xml:space="preserve">ETTLEMENT OF DISPUTES</w:t>
      </w:r>
      <w:r>
        <w:rPr>
          <w:rFonts w:cs="Times New Roman" w:hAnsi="Times New Roman" w:eastAsia="Times New Roman" w:ascii="Times New Roman"/>
          <w:b w:val="1"/>
          <w:i w:val="1"/>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13.1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Parties shall endeavour to settle amicably any dispute or complaint relating to the interpretation, application or fulfilment of this Agreement, including its existence, validity or termination. In default of amicable settlement, any Party may refer the matter to arbitration in accordance with the Permanent Court of Arbitration Optional Rules for Arbitration Involving International Organisations and States in force at the date of conclusion of this Agreement.</w:t>
      </w:r>
      <w:r>
        <w:rPr>
          <w:rFonts w:cs="Times New Roman" w:hAnsi="Times New Roman" w:eastAsia="Times New Roman" w:ascii="Times New Roman"/>
          <w:sz w:val="23"/>
        </w:rPr>
        <w:t xml:space="preserve"> </w:t>
      </w:r>
    </w:p>
    <w:p>
      <w:pPr>
        <w:tabs>
          <w:tab w:val="center" w:pos="912"/>
          <w:tab w:val="right" w:pos="9103"/>
        </w:tabs>
        <w:spacing w:before="0" w:after="39" w:line="259"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13.2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appointing authority shall be the Secretary General of the Permanent Court of </w:t>
      </w:r>
    </w:p>
    <w:p>
      <w:pPr>
        <w:spacing w:before="0" w:after="235" w:line="254" w:lineRule="auto"/>
        <w:ind w:left="1332" w:right="14"/>
      </w:pPr>
      <w:r>
        <w:rPr>
          <w:rFonts w:cs="Times New Roman" w:hAnsi="Times New Roman" w:eastAsia="Times New Roman" w:ascii="Times New Roman"/>
          <w:sz w:val="23"/>
        </w:rPr>
        <w:t xml:space="preserve">Arbitration following a written request submitted by either Party. The Arbitrator’s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decision shall be binding on all Parties and there shall be no appeal.</w:t>
      </w:r>
      <w:r>
        <w:rPr>
          <w:rFonts w:cs="Times New Roman" w:hAnsi="Times New Roman" w:eastAsia="Times New Roman" w:ascii="Times New Roman"/>
          <w:sz w:val="23"/>
        </w:rPr>
        <w:t xml:space="preserve"> </w:t>
      </w:r>
    </w:p>
    <w:p>
      <w:pPr>
        <w:spacing w:before="0" w:after="491" w:line="254" w:lineRule="auto"/>
        <w:ind w:left="1306" w:right="14" w:hanging="601"/>
      </w:pPr>
      <w:r>
        <w:rPr>
          <w:rFonts w:cs="Times New Roman" w:hAnsi="Times New Roman" w:eastAsia="Times New Roman" w:ascii="Times New Roman"/>
          <w:sz w:val="23"/>
        </w:rPr>
        <w:t xml:space="preserve">13.3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Nothing in this Agreement shall be interpreted as a waiver of any privileges or immunities accorded to any Party hereto by its constituent documents or international law.</w:t>
      </w:r>
      <w:r>
        <w:rPr>
          <w:rFonts w:cs="Times New Roman" w:hAnsi="Times New Roman" w:eastAsia="Times New Roman" w:ascii="Times New Roman"/>
          <w:sz w:val="23"/>
        </w:rPr>
        <w:t xml:space="preserve"> </w:t>
      </w:r>
    </w:p>
    <w:p>
      <w:pPr>
        <w:spacing w:before="0" w:after="632" w:line="259" w:lineRule="auto"/>
        <w:ind w:left="0" w:right="30" w:firstLine="0"/>
        <w:jc w:val="center"/>
      </w:pPr>
      <w:r>
        <w:rPr>
          <w:rFonts w:cs="Times New Roman" w:hAnsi="Times New Roman" w:eastAsia="Times New Roman" w:ascii="Times New Roman"/>
          <w:b w:val="1"/>
          <w:sz w:val="23"/>
        </w:rPr>
        <w:t xml:space="preserve">FINANCIAL</w:t>
      </w:r>
      <w:r>
        <w:rPr>
          <w:rFonts w:cs="Times New Roman" w:hAnsi="Times New Roman" w:eastAsia="Times New Roman" w:ascii="Times New Roman"/>
          <w:b w:val="1"/>
          <w:sz w:val="18"/>
        </w:rPr>
        <w:t xml:space="preserve"> </w:t>
      </w:r>
      <w:r>
        <w:rPr>
          <w:rFonts w:cs="Times New Roman" w:hAnsi="Times New Roman" w:eastAsia="Times New Roman" w:ascii="Times New Roman"/>
          <w:b w:val="1"/>
          <w:sz w:val="23"/>
        </w:rPr>
        <w:t xml:space="preserve">PROVISIONS</w:t>
      </w:r>
      <w:r>
        <w:rPr>
          <w:rFonts w:cs="Times New Roman" w:hAnsi="Times New Roman" w:eastAsia="Times New Roman" w:ascii="Times New Roman"/>
          <w:b w:val="1"/>
          <w:sz w:val="23"/>
        </w:rPr>
        <w:t xml:space="preserve"> </w:t>
      </w:r>
    </w:p>
    <w:p>
      <w:pPr>
        <w:pStyle w:val="heading6"/>
        <w:spacing w:before="0" w:after="99" w:line="259" w:lineRule="auto"/>
        <w:ind w:left="-5" w:right="0" w:hanging="10"/>
        <w:jc w:val="left"/>
      </w:pPr>
      <w:r>
        <w:rPr>
          <w:rFonts w:cs="Times New Roman" w:hAnsi="Times New Roman" w:eastAsia="Times New Roman" w:ascii="Times New Roman"/>
          <w:b w:val="1"/>
          <w:i w:val="1"/>
          <w:sz w:val="24"/>
        </w:rPr>
        <w:t xml:space="preserve">Article 14 </w:t>
      </w:r>
      <w:r>
        <w:rPr>
          <w:rFonts w:cs="Times New Roman" w:hAnsi="Times New Roman" w:eastAsia="Times New Roman" w:ascii="Times New Roman"/>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E</w:t>
      </w:r>
      <w:r>
        <w:rPr>
          <w:rFonts w:cs="Times New Roman" w:hAnsi="Times New Roman" w:eastAsia="Times New Roman" w:ascii="Times New Roman"/>
          <w:b w:val="1"/>
          <w:i w:val="1"/>
          <w:sz w:val="18"/>
        </w:rPr>
        <w:t xml:space="preserve">LIGIBLE COSTS</w:t>
      </w:r>
      <w:r>
        <w:rPr>
          <w:rFonts w:cs="Times New Roman" w:hAnsi="Times New Roman" w:eastAsia="Times New Roman" w:ascii="Times New Roman"/>
          <w:b w:val="1"/>
          <w:i w:val="1"/>
          <w:sz w:val="23"/>
        </w:rPr>
        <w:t xml:space="preserve"> </w:t>
      </w:r>
    </w:p>
    <w:p>
      <w:pPr>
        <w:tabs>
          <w:tab w:val="center" w:pos="912"/>
          <w:tab w:val="center" w:pos="4598"/>
        </w:tabs>
        <w:spacing w:before="0" w:after="235"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14.1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 be considered eligible as direct costs under this Agreement, costs must:</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be necessary for carrying out the Action, be provided for specifically in this Agreement and comply with the principles of sound financial management, in particular value for money and cost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effectiveness;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have been actually incurred during the Implementation Period of this Agreement as defined in Article 2 of the Special Conditions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whatever the time of actual disbursement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by the Organisation, in particular:</w:t>
      </w:r>
      <w:r>
        <w:rPr>
          <w:rFonts w:cs="Times New Roman" w:hAnsi="Times New Roman" w:eastAsia="Times New Roman" w:ascii="Times New Roman"/>
          <w:sz w:val="23"/>
        </w:rPr>
        <w:t xml:space="preserve">   </w:t>
      </w:r>
    </w:p>
    <w:p>
      <w:pPr>
        <w:numPr>
          <w:ilvl w:val="2"/>
          <w:numId w:val="35"/>
        </w:numPr>
        <w:spacing w:before="0" w:after="0" w:line="254" w:lineRule="auto"/>
        <w:ind w:left="2163" w:right="14" w:hanging="361"/>
      </w:pPr>
      <w:r>
        <w:rPr>
          <w:rFonts w:cs="Times New Roman" w:hAnsi="Times New Roman" w:eastAsia="Times New Roman" w:ascii="Times New Roman"/>
          <w:sz w:val="23"/>
        </w:rPr>
        <w:t xml:space="preserve">Costs relating to services and works properly provided shall relate to activities performed during the implementation period. Costs relating to supplies shall relate to delivery and installation of items during the implementation period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Consequently, cash transfers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between the Organisation and its 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signature of a contract, placing of an order, or entering into any commitment for future delivery of services, works or supplies undertaken before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after expiry of the implementation period do not meet this requirement.</w:t>
      </w:r>
      <w:r>
        <w:rPr>
          <w:rFonts w:cs="Times New Roman" w:hAnsi="Times New Roman" w:eastAsia="Times New Roman" w:ascii="Times New Roman"/>
          <w:sz w:val="23"/>
        </w:rPr>
        <w:t xml:space="preserve"> </w:t>
      </w:r>
    </w:p>
    <w:p>
      <w:pPr>
        <w:spacing w:before="0" w:after="0" w:line="259" w:lineRule="auto"/>
        <w:ind w:left="2163" w:right="0" w:firstLine="0"/>
        <w:jc w:val="left"/>
      </w:pPr>
      <w:r>
        <w:rPr>
          <w:rFonts w:cs="Times New Roman" w:hAnsi="Times New Roman" w:eastAsia="Times New Roman" w:ascii="Times New Roman"/>
          <w:sz w:val="23"/>
        </w:rPr>
        <w:t xml:space="preserve"> </w:t>
      </w:r>
    </w:p>
    <w:p>
      <w:pPr>
        <w:numPr>
          <w:ilvl w:val="2"/>
          <w:numId w:val="35"/>
        </w:numPr>
        <w:spacing w:before="0" w:after="235" w:line="254" w:lineRule="auto"/>
        <w:ind w:left="2163" w:right="14" w:hanging="361"/>
      </w:pPr>
      <w:r>
        <w:rPr>
          <w:rFonts w:cs="Times New Roman" w:hAnsi="Times New Roman" w:eastAsia="Times New Roman" w:ascii="Times New Roman"/>
          <w:sz w:val="23"/>
        </w:rPr>
        <w:t xml:space="preserve">Except for multi</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donor actions, costs incurred should be paid before the submission of the final reports. They may be paid afterwards, provided they are listed in the final report together with the estimated date of payment</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2"/>
          <w:numId w:val="35"/>
        </w:numPr>
        <w:spacing w:before="0" w:after="235" w:line="254" w:lineRule="auto"/>
        <w:ind w:left="2163" w:right="14" w:hanging="361"/>
      </w:pPr>
      <w:r>
        <w:rPr>
          <w:rFonts w:cs="Times New Roman" w:hAnsi="Times New Roman" w:eastAsia="Times New Roman" w:ascii="Times New Roman"/>
          <w:sz w:val="23"/>
        </w:rPr>
        <w:t xml:space="preserve">An exception is made for costs relating to final reports, including expenditure verification, audit 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final evaluation of the Action, which may be incurred after the implementation period of the Action.</w:t>
      </w:r>
      <w:r>
        <w:rPr>
          <w:rFonts w:cs="Times New Roman" w:hAnsi="Times New Roman" w:eastAsia="Times New Roman" w:ascii="Times New Roman"/>
          <w:sz w:val="23"/>
        </w:rPr>
        <w:t xml:space="preserve"> </w:t>
      </w:r>
    </w:p>
    <w:p>
      <w:pPr>
        <w:numPr>
          <w:ilvl w:val="2"/>
          <w:numId w:val="35"/>
        </w:numPr>
        <w:spacing w:before="0" w:after="235" w:line="254" w:lineRule="auto"/>
        <w:ind w:left="2163" w:right="14" w:hanging="361"/>
      </w:pPr>
      <w:r>
        <w:rPr>
          <w:rFonts w:cs="Times New Roman" w:hAnsi="Times New Roman" w:eastAsia="Times New Roman" w:ascii="Times New Roman"/>
          <w:sz w:val="23"/>
        </w:rPr>
        <w:t xml:space="preserve">Procedures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award contracts, as referred to in Article 10, may have been initiated and contracts may be concluded by the Organisation and its 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before the start of the implementation period of the Action.</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be recorded in the Organisation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s or Organisation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s partners' accounts, be identifiable, backed by effective supporting evidence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originals, as the case may be in electronic form), and verifiable pursuant to the provisions of Article </w:t>
      </w:r>
      <w:r>
        <w:rPr>
          <w:rFonts w:cs="Times New Roman" w:hAnsi="Times New Roman" w:eastAsia="Times New Roman" w:ascii="Times New Roman"/>
          <w:sz w:val="23"/>
        </w:rPr>
        <w:t xml:space="preserve">16.4.</w:t>
      </w:r>
      <w:r>
        <w:rPr>
          <w:rFonts w:cs="Times New Roman" w:hAnsi="Times New Roman" w:eastAsia="Times New Roman" w:ascii="Times New Roman"/>
          <w:sz w:val="23"/>
        </w:rPr>
        <w:t xml:space="preserve"> </w:t>
      </w:r>
    </w:p>
    <w:p>
      <w:pPr>
        <w:spacing w:before="0" w:after="228" w:line="259" w:lineRule="auto"/>
        <w:ind w:left="1487" w:right="0" w:firstLine="0"/>
        <w:jc w:val="left"/>
      </w:pP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14.2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Subject to the above and without prejudice to Article </w:t>
      </w:r>
      <w:r>
        <w:rPr>
          <w:rFonts w:cs="Times New Roman" w:hAnsi="Times New Roman" w:eastAsia="Times New Roman" w:ascii="Times New Roman"/>
          <w:sz w:val="23"/>
        </w:rPr>
        <w:t xml:space="preserve">10.5</w:t>
      </w:r>
      <w:r>
        <w:rPr>
          <w:rFonts w:cs="Times New Roman" w:hAnsi="Times New Roman" w:eastAsia="Times New Roman" w:ascii="Times New Roman"/>
          <w:sz w:val="23"/>
        </w:rPr>
        <w:t xml:space="preserve">, the following direct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the Organisation 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its implementing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in particular be eligible:</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the cost of staff assigned to the Action, corresponding to actual salaries plus social security charges and other remuneration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related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(including in the form of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provisions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made in accordance with the Organisation accounting rules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case of Joint Management Action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Identifiable personnel costs at headquarters level arising as a direct consequence of the Action may be included. Salaries and costs shall not exceed those normally borne by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partners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travel and subsistence costs for staff taking part in the Action, provided they do not exceed those normally borne by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partners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purchase costs for equipment (new or used) which are attributable to the Action</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purchase costs for goods and services (transport, storage and distributing, rent of equipment, etc.) which are directly attributable to the Action; </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costs directly arising out of, or related to, accepting or distributing contributions in kind;</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costs of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consumables and supplies directly attributable to the Action;</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expenditure on contracting directly attributable to the Action;</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the proportion of field office costs that corresponds to the amount of activity directly attributable to the Action or to the proportion of funding by the Contracting Authority;</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costs deriving directly from the requirements of this Agreement (dissemination of information, evaluation specific to the Action, specific reporting for the needs of the Contracting Authority, translation, reproduction, insurance, targeted training for those involved in the Action, etc.) including financial service costs (in particular bank fees for transfers).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taxes, duties and charges, including VAT, actually paid and that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cannot reclaim </w:t>
      </w:r>
      <w:r>
        <w:rPr>
          <w:rFonts w:cs="Times New Roman" w:hAnsi="Times New Roman" w:eastAsia="Times New Roman" w:ascii="Times New Roman"/>
          <w:sz w:val="23"/>
        </w:rPr>
        <w:t xml:space="preserve">(o</w:t>
      </w:r>
      <w:r>
        <w:rPr>
          <w:rFonts w:cs="Times New Roman" w:hAnsi="Times New Roman" w:eastAsia="Times New Roman" w:ascii="Times New Roman"/>
          <w:sz w:val="23"/>
        </w:rPr>
        <w:t xml:space="preserve">r, where applicable, its partners), unless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otherwise provided in the Special Conditions.</w:t>
      </w:r>
      <w:r>
        <w:rPr>
          <w:rFonts w:cs="Times New Roman" w:hAnsi="Times New Roman" w:eastAsia="Times New Roman" w:ascii="Times New Roman"/>
          <w:sz w:val="23"/>
        </w:rPr>
        <w:t xml:space="preserve">    </w:t>
      </w:r>
    </w:p>
    <w:p>
      <w:pPr>
        <w:tabs>
          <w:tab w:val="center" w:pos="912"/>
          <w:tab w:val="center" w:pos="3568"/>
        </w:tabs>
        <w:spacing w:before="0" w:after="235"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14.3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following costs shall not be considered eligible</w:t>
      </w:r>
      <w:r>
        <w:rPr>
          <w:rFonts w:cs="Times New Roman" w:hAnsi="Times New Roman" w:eastAsia="Times New Roman" w:ascii="Times New Roman"/>
          <w:color w:val="ff0000"/>
          <w:sz w:val="23"/>
          <w:u w:val="single" w:color="ff0000"/>
        </w:rPr>
        <w:t xml:space="preserve">:</w:t>
      </w:r>
      <w:r>
        <w:rPr>
          <w:rFonts w:cs="Times New Roman" w:hAnsi="Times New Roman" w:eastAsia="Times New Roman" w:ascii="Times New Roman"/>
          <w:color w:val="ff0000"/>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debts and debts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service charges;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provisions for losses or potential future liabilities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interest owed by the Organisation to any third party;</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items already financed from other sources;</w:t>
      </w:r>
      <w:r>
        <w:rPr>
          <w:rFonts w:cs="Times New Roman" w:hAnsi="Times New Roman" w:eastAsia="Times New Roman" w:ascii="Times New Roman"/>
          <w:sz w:val="23"/>
        </w:rPr>
        <w:t xml:space="preserve"> </w:t>
      </w:r>
    </w:p>
    <w:p>
      <w:pPr>
        <w:numPr>
          <w:ilvl w:val="0"/>
          <w:numId w:val="33"/>
        </w:numPr>
        <w:spacing w:before="0" w:after="235" w:line="254" w:lineRule="auto"/>
        <w:ind w:left="1487" w:right="14" w:hanging="285"/>
      </w:pPr>
      <w:r>
        <w:rPr>
          <w:rFonts w:cs="Times New Roman" w:hAnsi="Times New Roman" w:eastAsia="Times New Roman" w:ascii="Times New Roman"/>
          <w:sz w:val="23"/>
        </w:rPr>
        <w:t xml:space="preserve">purchases of land or buildings;</w:t>
      </w:r>
      <w:r>
        <w:rPr>
          <w:rFonts w:cs="Times New Roman" w:hAnsi="Times New Roman" w:eastAsia="Times New Roman" w:ascii="Times New Roman"/>
          <w:sz w:val="23"/>
        </w:rPr>
        <w:t xml:space="preserve"> </w:t>
      </w:r>
    </w:p>
    <w:p>
      <w:pPr>
        <w:numPr>
          <w:ilvl w:val="0"/>
          <w:numId w:val="33"/>
        </w:numPr>
        <w:spacing w:before="0" w:after="277" w:line="254" w:lineRule="auto"/>
        <w:ind w:left="1487" w:right="14" w:hanging="285"/>
      </w:pPr>
      <w:r>
        <w:rPr>
          <w:rFonts w:cs="Times New Roman" w:hAnsi="Times New Roman" w:eastAsia="Times New Roman" w:ascii="Times New Roman"/>
          <w:sz w:val="23"/>
        </w:rPr>
        <w:t xml:space="preserve">currency exchange losses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35" w:line="254" w:lineRule="auto"/>
        <w:ind w:left="1276" w:right="14" w:hanging="571"/>
      </w:pPr>
      <w:r>
        <w:rPr>
          <w:rFonts w:cs="Times New Roman" w:hAnsi="Times New Roman" w:eastAsia="Times New Roman" w:ascii="Times New Roman"/>
          <w:sz w:val="24"/>
        </w:rPr>
        <w:t xml:space="preserve">14.4</w:t>
      </w:r>
      <w:r>
        <w:rPr>
          <w:rFonts w:cs="Times New Roman" w:hAnsi="Times New Roman" w:eastAsia="Times New Roman" w:ascii="Times New Roman"/>
          <w:sz w:val="24"/>
        </w:rPr>
        <w:t xml:space="preserve"> </w:t>
      </w:r>
      <w:r>
        <w:rPr>
          <w:rFonts w:cs="Times New Roman" w:hAnsi="Times New Roman" w:eastAsia="Times New Roman" w:ascii="Times New Roman"/>
          <w:sz w:val="23"/>
        </w:rPr>
        <w:t xml:space="preserve">Indirect costs are eligible provided that they do not include costs assigned to another heading of the budget of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Agreement.  </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Indirect costs may be charged on the value of in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kind commodities delivered by the Contracting Authority, including their associated costs.</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 fixed percentage of direct eligible costs, not exceeding 7</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claimed as indirect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by the Organisation to cover the administrative overheads incurred for the Action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Funding in respect of indirect costs does not need to be supported by accounting documents.</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Subject to the above, for comparable Actions and Actions where there is more than one donor the amount claimed as indirect costs shall not, in percentage terms, be higher or lower than for other comparable contributions.</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Where the rates applied in accordance with the Organisation’s governing bodies’ decisions exceed 7%, the Organisation may recover the balance as direct eligible costs, subject to the provisions governing direct eligible costs referred to in this Article </w:t>
      </w:r>
      <w:r>
        <w:rPr>
          <w:rFonts w:cs="Times New Roman" w:hAnsi="Times New Roman" w:eastAsia="Times New Roman" w:ascii="Times New Roman"/>
          <w:sz w:val="23"/>
        </w:rPr>
        <w:t xml:space="preserve">14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being fulfilled.</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Indirect costs shall not be eligible where the Agreement concerns the financing of an action where the Organisation is already receiving an operating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grant from the European Union during the period in question.</w:t>
      </w:r>
      <w:r>
        <w:rPr>
          <w:rFonts w:cs="Times New Roman" w:hAnsi="Times New Roman" w:eastAsia="Times New Roman" w:ascii="Times New Roman"/>
          <w:sz w:val="23"/>
        </w:rPr>
        <w:t xml:space="preserve"> </w:t>
      </w:r>
    </w:p>
    <w:p>
      <w:pPr>
        <w:numPr>
          <w:ilvl w:val="1"/>
          <w:numId w:val="34"/>
        </w:numPr>
        <w:spacing w:before="0" w:after="235" w:line="254" w:lineRule="auto"/>
        <w:ind w:left="1306" w:right="14" w:hanging="601"/>
      </w:pPr>
      <w:r>
        <w:rPr>
          <w:rFonts w:cs="Times New Roman" w:hAnsi="Times New Roman" w:eastAsia="Times New Roman" w:ascii="Times New Roman"/>
          <w:sz w:val="23"/>
        </w:rPr>
        <w:t xml:space="preserve">Any contingency reserve included in the Budget of the Action, to cover any adjustment necessary in the light of changed circumstances on the ground, may not exceed 5% of eligible costs and shall only be used with the prior written (by letter) authorisation of the Contracting Authority, upon a duly justified request from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through an exchange of letters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numPr>
          <w:ilvl w:val="1"/>
          <w:numId w:val="34"/>
        </w:numPr>
        <w:spacing w:before="0" w:after="407" w:line="254" w:lineRule="auto"/>
        <w:ind w:left="1306" w:right="14" w:hanging="601"/>
      </w:pPr>
      <w:r>
        <w:rPr>
          <w:rFonts w:cs="Times New Roman" w:hAnsi="Times New Roman" w:eastAsia="Times New Roman" w:ascii="Times New Roman"/>
          <w:sz w:val="23"/>
        </w:rPr>
        <w:t xml:space="preserve">Contributions in kind made by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or its partners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be considered neither as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 nor as eligible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cost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staff</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assigned to</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is not a contribution in kind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be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considered as co</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the Budget for</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paid by the Organisation or its partners</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pStyle w:val="heading6"/>
        <w:spacing w:before="0" w:after="96" w:line="259" w:lineRule="auto"/>
        <w:ind w:left="-5" w:right="0" w:hanging="10"/>
        <w:jc w:val="left"/>
      </w:pPr>
      <w:r>
        <w:rPr>
          <w:rFonts w:cs="Times New Roman" w:hAnsi="Times New Roman" w:eastAsia="Times New Roman" w:ascii="Times New Roman"/>
          <w:b w:val="1"/>
          <w:i w:val="1"/>
          <w:sz w:val="24"/>
        </w:rPr>
        <w:t xml:space="preserve">Article 15 </w:t>
      </w:r>
      <w:r>
        <w:rPr>
          <w:rFonts w:cs="Times New Roman" w:hAnsi="Times New Roman" w:eastAsia="Times New Roman" w:ascii="Times New Roman"/>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P</w:t>
      </w:r>
      <w:r>
        <w:rPr>
          <w:rFonts w:cs="Times New Roman" w:hAnsi="Times New Roman" w:eastAsia="Times New Roman" w:ascii="Times New Roman"/>
          <w:b w:val="1"/>
          <w:i w:val="1"/>
          <w:sz w:val="18"/>
        </w:rPr>
        <w:t xml:space="preserve">AYMENTS</w:t>
      </w:r>
      <w:r>
        <w:rPr>
          <w:rFonts w:cs="Times New Roman" w:hAnsi="Times New Roman" w:eastAsia="Times New Roman" w:ascii="Times New Roman"/>
          <w:b w:val="1"/>
          <w:i w:val="1"/>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15.1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Payment procedures are set out in Article 4 of the Special Conditions and follow one of the two options below:</w:t>
      </w:r>
      <w:r>
        <w:rPr>
          <w:rFonts w:cs="Times New Roman" w:hAnsi="Times New Roman" w:eastAsia="Times New Roman" w:ascii="Times New Roman"/>
          <w:sz w:val="23"/>
        </w:rPr>
        <w:t xml:space="preserve"> </w:t>
      </w:r>
    </w:p>
    <w:p>
      <w:pPr>
        <w:spacing w:before="0" w:after="120" w:line="249" w:lineRule="auto"/>
        <w:ind w:left="1317" w:right="0" w:hanging="55"/>
        <w:jc w:val="left"/>
      </w:pPr>
      <w:r>
        <w:rPr>
          <w:rFonts w:cs="Times New Roman" w:hAnsi="Times New Roman" w:eastAsia="Times New Roman" w:ascii="Times New Roman"/>
          <w:sz w:val="23"/>
          <w:u w:val="single" w:color="000000"/>
        </w:rPr>
        <w:t xml:space="preserve">Option 1:</w:t>
      </w:r>
      <w:r>
        <w:rPr>
          <w:rFonts w:cs="Times New Roman" w:hAnsi="Times New Roman" w:eastAsia="Times New Roman" w:ascii="Times New Roman"/>
          <w:sz w:val="23"/>
          <w:u w:val="single" w:color="000000"/>
        </w:rPr>
        <w:t xml:space="preserve"> </w:t>
      </w:r>
      <w:r>
        <w:rPr>
          <w:rFonts w:cs="Times New Roman" w:hAnsi="Times New Roman" w:eastAsia="Times New Roman" w:ascii="Times New Roman"/>
          <w:sz w:val="23"/>
          <w:u w:val="single" w:color="000000"/>
        </w:rPr>
        <w:t xml:space="preserve">When the implementation period of the Agreement does not exceed 12</w:t>
      </w:r>
      <w:r>
        <w:rPr>
          <w:rFonts w:cs="Times New Roman" w:hAnsi="Times New Roman" w:eastAsia="Times New Roman" w:ascii="Times New Roman"/>
          <w:sz w:val="23"/>
          <w:u w:val="single" w:color="000000"/>
        </w:rPr>
        <w:t xml:space="preserve"> </w:t>
      </w:r>
      <w:r>
        <w:rPr>
          <w:rFonts w:cs="Times New Roman" w:hAnsi="Times New Roman" w:eastAsia="Times New Roman" w:ascii="Times New Roman"/>
          <w:sz w:val="23"/>
          <w:u w:val="single" w:color="000000"/>
        </w:rPr>
        <w:t xml:space="preserve">months</w:t>
      </w:r>
      <w:r>
        <w:rPr>
          <w:rFonts w:cs="Times New Roman" w:hAnsi="Times New Roman" w:eastAsia="Times New Roman" w:ascii="Times New Roman"/>
          <w:sz w:val="23"/>
        </w:rPr>
        <w:t xml:space="preserve"> </w:t>
      </w:r>
      <w:r>
        <w:rPr>
          <w:rFonts w:cs="Times New Roman" w:hAnsi="Times New Roman" w:eastAsia="Times New Roman" w:ascii="Times New Roman"/>
          <w:sz w:val="23"/>
          <w:u w:val="single" w:color="000000"/>
        </w:rPr>
        <w:t xml:space="preserve">or the contribution is less than EUR 100 000</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Contracting Authority will provide a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 from 80% up to 95% of the sum referred to in Article 3(2) of the Special Conditions less contingencies within </w:t>
      </w:r>
      <w:r>
        <w:rPr>
          <w:rFonts w:cs="Times New Roman" w:hAnsi="Times New Roman" w:eastAsia="Times New Roman" w:ascii="Times New Roman"/>
          <w:sz w:val="23"/>
        </w:rPr>
        <w:t xml:space="preserve">30</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days of receiving the Agreement signed by both</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Parties.</w:t>
      </w:r>
      <w:r>
        <w:rPr>
          <w:rFonts w:cs="Times New Roman" w:hAnsi="Times New Roman" w:eastAsia="Times New Roman" w:ascii="Times New Roman"/>
          <w:sz w:val="23"/>
        </w:rPr>
        <w:t xml:space="preserve"> </w:t>
      </w:r>
    </w:p>
    <w:p>
      <w:pPr>
        <w:spacing w:before="0" w:after="338" w:line="254" w:lineRule="auto"/>
        <w:ind w:left="1287" w:right="14"/>
      </w:pPr>
      <w:r>
        <w:rPr>
          <w:rFonts w:cs="Times New Roman" w:hAnsi="Times New Roman" w:eastAsia="Times New Roman" w:ascii="Times New Roman"/>
          <w:sz w:val="23"/>
        </w:rPr>
        <w:t xml:space="preserve">The Contracting Authority will pay the balance within 90 days of receiving a request for payment accompanied by a final report. Approval of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 will be done within 45 days and in accordance with Article 15.2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will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pay the balance within </w:t>
      </w:r>
      <w:r>
        <w:rPr>
          <w:rFonts w:cs="Times New Roman" w:hAnsi="Times New Roman" w:eastAsia="Times New Roman" w:ascii="Times New Roman"/>
          <w:sz w:val="24"/>
        </w:rPr>
        <w:t xml:space="preserve">45 days of approving the final report.</w:t>
      </w:r>
      <w:r>
        <w:rPr>
          <w:rFonts w:cs="Times New Roman" w:hAnsi="Times New Roman" w:eastAsia="Times New Roman" w:ascii="Times New Roman"/>
          <w:sz w:val="23"/>
        </w:rPr>
        <w:t xml:space="preserve"> </w:t>
      </w:r>
    </w:p>
    <w:p>
      <w:pPr>
        <w:spacing w:before="0" w:after="120" w:line="249" w:lineRule="auto"/>
        <w:ind w:left="1317" w:right="0" w:hanging="55"/>
        <w:jc w:val="left"/>
      </w:pPr>
      <w:r>
        <w:rPr>
          <w:rFonts w:cs="Times New Roman" w:hAnsi="Times New Roman" w:eastAsia="Times New Roman" w:ascii="Times New Roman"/>
          <w:sz w:val="23"/>
          <w:u w:val="single" w:color="000000"/>
        </w:rPr>
        <w:t xml:space="preserve">Option 2:</w:t>
      </w:r>
      <w:r>
        <w:rPr>
          <w:rFonts w:cs="Times New Roman" w:hAnsi="Times New Roman" w:eastAsia="Times New Roman" w:ascii="Times New Roman"/>
          <w:sz w:val="23"/>
          <w:u w:val="single" w:color="000000"/>
        </w:rPr>
        <w:t xml:space="preserve"> </w:t>
      </w:r>
      <w:r>
        <w:rPr>
          <w:rFonts w:cs="Times New Roman" w:hAnsi="Times New Roman" w:eastAsia="Times New Roman" w:ascii="Times New Roman"/>
          <w:sz w:val="23"/>
          <w:u w:val="single" w:color="000000"/>
        </w:rPr>
        <w:t xml:space="preserve">When the implementation period of the Agreement exceeds 12 months and the</w:t>
      </w:r>
      <w:r>
        <w:rPr>
          <w:rFonts w:cs="Times New Roman" w:hAnsi="Times New Roman" w:eastAsia="Times New Roman" w:ascii="Times New Roman"/>
          <w:sz w:val="23"/>
        </w:rPr>
        <w:t xml:space="preserve"> </w:t>
      </w:r>
      <w:r>
        <w:rPr>
          <w:rFonts w:cs="Times New Roman" w:hAnsi="Times New Roman" w:eastAsia="Times New Roman" w:ascii="Times New Roman"/>
          <w:sz w:val="23"/>
          <w:u w:val="single" w:color="000000"/>
        </w:rPr>
        <w:t xml:space="preserve">contribution is of EUR 100 000 or more</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Contracting Authority will provide a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 from 80% to 95%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of that part of the budget for the first 12 months of the Action which is being financed by it (excluding contingencies) within </w:t>
      </w:r>
      <w:r>
        <w:rPr>
          <w:rFonts w:cs="Times New Roman" w:hAnsi="Times New Roman" w:eastAsia="Times New Roman" w:ascii="Times New Roman"/>
          <w:sz w:val="23"/>
        </w:rPr>
        <w:t xml:space="preserve">30</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days of receiving the Agreement signed by both Parties.</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Each further instalment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will consist of (1) an interim payment that will cover the remainder of the Contracting Authority’s part of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budget for the previous period (including any approved contingencies)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(2) a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from 80% to 95% of that part of the budget for the subsequent 12</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month period (or of the remaining period if shorter as regards the last instalment of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 which is </w:t>
      </w:r>
      <w:r>
        <w:rPr>
          <w:rFonts w:cs="Times New Roman" w:hAnsi="Times New Roman" w:eastAsia="Times New Roman" w:ascii="Times New Roman"/>
          <w:sz w:val="24"/>
        </w:rPr>
        <w:t xml:space="preserve">financed by it (excluding contingencies</w:t>
      </w:r>
      <w:r>
        <w:rPr>
          <w:rFonts w:cs="Times New Roman" w:hAnsi="Times New Roman" w:eastAsia="Times New Roman" w:ascii="Times New Roman"/>
          <w:sz w:val="24"/>
        </w:rPr>
        <w:t xml:space="preserve">), </w:t>
      </w:r>
      <w:r>
        <w:rPr>
          <w:rFonts w:cs="Times New Roman" w:hAnsi="Times New Roman" w:eastAsia="Times New Roman" w:ascii="Times New Roman"/>
          <w:sz w:val="23"/>
        </w:rPr>
        <w:t xml:space="preserve">provided that at least 70% of the immediately preceding instalment (and 100% of previous instalments if any) has been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subject to a legal commitment between the organization or its partner and a third party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as proven by the relevant report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instalments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final payment will be made by the Contracting Authority within 90 days of receiving a request for payment accompanied by a progress or final report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Approval of any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report will be done within 45 days and in accordance with Article 15.2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will then pay</w:t>
      </w:r>
      <w:r>
        <w:rPr>
          <w:rFonts w:cs="Times New Roman" w:hAnsi="Times New Roman" w:eastAsia="Times New Roman" w:ascii="Times New Roman"/>
          <w:sz w:val="23"/>
        </w:rPr>
        <w:t xml:space="preserve"> </w:t>
      </w:r>
      <w:r>
        <w:rPr>
          <w:rFonts w:cs="Times New Roman" w:hAnsi="Times New Roman" w:eastAsia="Times New Roman" w:ascii="Times New Roman"/>
          <w:sz w:val="24"/>
        </w:rPr>
        <w:t xml:space="preserve">within 45 days of approving the</w:t>
      </w:r>
      <w:r>
        <w:rPr>
          <w:rFonts w:cs="Times New Roman" w:hAnsi="Times New Roman" w:eastAsia="Times New Roman" w:ascii="Times New Roman"/>
          <w:sz w:val="24"/>
        </w:rPr>
        <w:t xml:space="preserve"> </w:t>
      </w:r>
      <w:r>
        <w:rPr>
          <w:rFonts w:cs="Times New Roman" w:hAnsi="Times New Roman" w:eastAsia="Times New Roman" w:ascii="Times New Roman"/>
          <w:sz w:val="24"/>
        </w:rPr>
        <w:t xml:space="preserve">progress or</w:t>
      </w:r>
      <w:r>
        <w:rPr>
          <w:rFonts w:cs="Times New Roman" w:hAnsi="Times New Roman" w:eastAsia="Times New Roman" w:ascii="Times New Roman"/>
          <w:sz w:val="24"/>
        </w:rPr>
        <w:t xml:space="preserve"> </w:t>
      </w:r>
      <w:r>
        <w:rPr>
          <w:rFonts w:cs="Times New Roman" w:hAnsi="Times New Roman" w:eastAsia="Times New Roman" w:ascii="Times New Roman"/>
          <w:sz w:val="24"/>
        </w:rPr>
        <w:t xml:space="preserve">final report.</w:t>
      </w:r>
      <w:r>
        <w:rPr>
          <w:rFonts w:cs="Times New Roman" w:hAnsi="Times New Roman" w:eastAsia="Times New Roman" w:ascii="Times New Roman"/>
          <w:sz w:val="23"/>
        </w:rPr>
        <w:t xml:space="preserve"> </w:t>
      </w:r>
    </w:p>
    <w:p>
      <w:pPr>
        <w:spacing w:before="0" w:after="355" w:line="254" w:lineRule="auto"/>
        <w:ind w:left="1306" w:right="14" w:hanging="601"/>
      </w:pPr>
      <w:r>
        <w:rPr>
          <w:rFonts w:cs="Times New Roman" w:hAnsi="Times New Roman" w:eastAsia="Times New Roman" w:ascii="Times New Roman"/>
          <w:sz w:val="23"/>
        </w:rPr>
        <w:t xml:space="preserve">15.2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Any report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will be deemed approved 45 days after receipt, accompanied by a request for payment conforming to the model attached as Annex V, if the Contracting Authority has not reacted.</w:t>
      </w:r>
      <w:r>
        <w:rPr>
          <w:rFonts w:cs="Times New Roman" w:hAnsi="Times New Roman" w:eastAsia="Times New Roman" w:ascii="Times New Roman"/>
          <w:sz w:val="23"/>
        </w:rPr>
        <w:t xml:space="preserve"> </w:t>
      </w:r>
    </w:p>
    <w:p>
      <w:pPr>
        <w:spacing w:before="0" w:after="115" w:line="254" w:lineRule="auto"/>
        <w:ind w:left="1287" w:right="14"/>
      </w:pPr>
      <w:r>
        <w:rPr>
          <w:rFonts w:cs="Times New Roman" w:hAnsi="Times New Roman" w:eastAsia="Times New Roman" w:ascii="Times New Roman"/>
          <w:sz w:val="23"/>
        </w:rPr>
        <w:t xml:space="preserve">If the Contracting Authority does not intend to approve a report, as submitted, it shall revert to the Organisation with a request explaining the reason and specifying the additional information it requires within the first 45</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day period. The deadline for approving the report shall be suspended pending the receipt of the requested information.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the Contracting Authority deems that a payment request cannot be met, it shall revert to the Organisation with a request explaining the reason and specifying the additional information it requires within the second 45</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day period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payment period shall be suspended pending the registration of a properly formulated payment request.</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Reports shall be presented in accordance with Article </w:t>
      </w:r>
      <w:r>
        <w:rPr>
          <w:rFonts w:cs="Times New Roman" w:hAnsi="Times New Roman" w:eastAsia="Times New Roman" w:ascii="Times New Roman"/>
          <w:sz w:val="23"/>
        </w:rPr>
        <w:t xml:space="preserve">2.</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Approval of a report does not imply recognition of the regularity, authenticity, completeness and correctness of the declarations and information contained therein.</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15.3 </w:t>
      </w:r>
      <w:r>
        <w:rPr>
          <w:rFonts w:cs="Times New Roman" w:hAnsi="Times New Roman" w:eastAsia="Times New Roman" w:ascii="Times New Roman"/>
          <w:sz w:val="23"/>
        </w:rPr>
        <w:t xml:space="preserve">On expiry of the payment period specified in Article </w:t>
      </w:r>
      <w:r>
        <w:rPr>
          <w:rFonts w:cs="Times New Roman" w:hAnsi="Times New Roman" w:eastAsia="Times New Roman" w:ascii="Times New Roman"/>
          <w:sz w:val="23"/>
        </w:rPr>
        <w:t xml:space="preserve">15.1</w:t>
      </w:r>
      <w:r>
        <w:rPr>
          <w:rFonts w:cs="Times New Roman" w:hAnsi="Times New Roman" w:eastAsia="Times New Roman" w:ascii="Times New Roman"/>
          <w:sz w:val="23"/>
        </w:rPr>
        <w:t xml:space="preserve">, the Organisation, </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shall receive interest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late payment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at the rate applied by the European Central Bank to its principal refinancing operations, as published in the C series of the Official Journal of the European Union on the first day of the month in which payment was due, increased by three and a half percentage points. </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interest shall be payable for the period elapsing from the day following expiry of the time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limit for payment up to the day of payment. Any partial payment shall first cover the interest.</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By way of exception, when the interest calculated in accordance with this provision is lower than or equal to EUR 200, it will be paid to the Organisation only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upon demand submitted within two months of receiving late payment.</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interest shall not be treated as an income for the purposes of determining the final amount of European Union financing within the meaning of article </w:t>
      </w:r>
      <w:r>
        <w:rPr>
          <w:rFonts w:cs="Times New Roman" w:hAnsi="Times New Roman" w:eastAsia="Times New Roman" w:ascii="Times New Roman"/>
          <w:sz w:val="23"/>
        </w:rPr>
        <w:t xml:space="preserve">17</w:t>
      </w:r>
      <w:r>
        <w:rPr>
          <w:rFonts w:cs="Times New Roman" w:hAnsi="Times New Roman" w:eastAsia="Times New Roman" w:ascii="Times New Roman"/>
          <w:sz w:val="23"/>
        </w:rPr>
        <w:t xml:space="preserve">. The suspension of payment by the Contracting Authority may not be considered as late payment.</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15.4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level of pre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financing referred to in Article </w:t>
      </w:r>
      <w:r>
        <w:rPr>
          <w:rFonts w:cs="Times New Roman" w:hAnsi="Times New Roman" w:eastAsia="Times New Roman" w:ascii="Times New Roman"/>
          <w:sz w:val="23"/>
        </w:rPr>
        <w:t xml:space="preserve">15.1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above shall be set at a level of between 80% and 95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 in 5% increments taking into account past record of the Organisation in particular as regards timely submission of the final report.</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15.5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Contracting Authority will make payments in Euro into the bank account referred to in the financial identification form in Annex IV.</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payment is to be made to a bank account which is already known to the Contracting Authority,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provide a copy of the relevant financial identification form</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278" w:line="254" w:lineRule="auto"/>
        <w:ind w:left="1306" w:right="14" w:hanging="601"/>
      </w:pPr>
      <w:r>
        <w:rPr>
          <w:rFonts w:cs="Times New Roman" w:hAnsi="Times New Roman" w:eastAsia="Times New Roman" w:ascii="Times New Roman"/>
          <w:sz w:val="23"/>
        </w:rPr>
        <w:t xml:space="preserve">15.6</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feasible, the funds paid by the Contracting Authority shall be maintained in Euro denominated bank accounts. They may be pooled together with contributions from other donors. They may be exchanged for other currencies in order to facilitate their disbursement.</w:t>
      </w:r>
      <w:r>
        <w:rPr>
          <w:rFonts w:cs="Times New Roman" w:hAnsi="Times New Roman" w:eastAsia="Times New Roman" w:ascii="Times New Roman"/>
          <w:sz w:val="23"/>
        </w:rPr>
        <w:t xml:space="preserve"> </w:t>
      </w:r>
    </w:p>
    <w:p>
      <w:pPr>
        <w:spacing w:before="0" w:after="412" w:line="254" w:lineRule="auto"/>
        <w:ind w:left="1276" w:right="14" w:hanging="571"/>
      </w:pPr>
      <w:r>
        <w:rPr>
          <w:rFonts w:cs="Times New Roman" w:hAnsi="Times New Roman" w:eastAsia="Times New Roman" w:ascii="Times New Roman"/>
          <w:sz w:val="24"/>
        </w:rPr>
        <w:t xml:space="preserve">15.7</w:t>
      </w:r>
      <w:r>
        <w:rPr>
          <w:rFonts w:cs="Times New Roman" w:hAnsi="Times New Roman" w:eastAsia="Times New Roman" w:ascii="Times New Roman"/>
          <w:sz w:val="24"/>
        </w:rPr>
        <w:t xml:space="preserve"> </w:t>
      </w:r>
      <w:r>
        <w:rPr>
          <w:rFonts w:cs="Times New Roman" w:hAnsi="Times New Roman" w:eastAsia="Times New Roman" w:ascii="Times New Roman"/>
          <w:sz w:val="23"/>
        </w:rPr>
        <w:t xml:space="preserve">Where according to the Special Conditions  interest earned by the Organisation on funds received from the Contracting Authority is due, it shall be deducted from the payment of the balance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used for the Action or recovered by the Contracting Authority. In that case, interest shall be identified as such and reflected in reports to the Contracting Authority.</w:t>
      </w:r>
      <w:r>
        <w:rPr>
          <w:rFonts w:cs="Times New Roman" w:hAnsi="Times New Roman" w:eastAsia="Times New Roman" w:ascii="Times New Roman"/>
          <w:sz w:val="24"/>
        </w:rPr>
        <w:t xml:space="preserve"> </w:t>
      </w:r>
    </w:p>
    <w:p>
      <w:pPr>
        <w:pStyle w:val="heading5"/>
        <w:spacing w:before="0" w:after="99" w:line="259" w:lineRule="auto"/>
        <w:ind w:left="-5"/>
      </w:pPr>
      <w:r>
        <w:rPr>
          <w:rFonts w:cs="Times New Roman" w:hAnsi="Times New Roman" w:eastAsia="Times New Roman" w:ascii="Times New Roman"/>
          <w:sz w:val="24"/>
        </w:rPr>
        <w:t xml:space="preserve">Article 16 </w:t>
      </w:r>
      <w:r>
        <w:rPr>
          <w:rFonts w:cs="Times New Roman" w:hAnsi="Times New Roman" w:eastAsia="Times New Roman" w:ascii="Times New Roman"/>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A</w:t>
      </w:r>
      <w:r>
        <w:rPr>
          <w:rFonts w:cs="Times New Roman" w:hAnsi="Times New Roman" w:eastAsia="Times New Roman" w:ascii="Times New Roman"/>
          <w:sz w:val="18"/>
        </w:rPr>
        <w:t xml:space="preserve">CCOUNTS AND TECHNICAL AND FINANCIAL CHECKS</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16.1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keep accurate and regular records and accounts of the implementation of the Action. Separate accounts or sub</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accounts shall be kept for each Action, and shall detail all income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generated by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Action, donor contributions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expenditure.</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The accounting regulations and rules of the Organisation shall apply, provided that these regulations and rules conform to internationally accepted standards.</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16.2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Financial transactions and financial statements shall be subject to the internal and external auditing procedures laid down in the Financial Regulations, Rules and directives of the Organisation. A copy of the audited financial statements shall be submitted to the European Commission by the Organisation.</w:t>
      </w:r>
      <w:r>
        <w:rPr>
          <w:rFonts w:cs="Times New Roman" w:hAnsi="Times New Roman" w:eastAsia="Times New Roman" w:ascii="Times New Roman"/>
          <w:sz w:val="23"/>
        </w:rPr>
        <w:t xml:space="preserve"> </w:t>
      </w:r>
    </w:p>
    <w:p>
      <w:pPr>
        <w:tabs>
          <w:tab w:val="center" w:pos="912"/>
          <w:tab w:val="right" w:pos="9103"/>
        </w:tabs>
        <w:spacing w:before="0" w:after="5" w:line="254" w:lineRule="auto"/>
        <w:ind w:left="0" w:right="0" w:firstLine="0"/>
        <w:jc w:val="left"/>
      </w:pPr>
      <w:r>
        <w:rPr>
          <w:rFonts w:cs="Calibri" w:hAnsi="Calibri" w:eastAsia="Calibri" w:ascii="Calibri"/>
          <w:sz w:val="22"/>
        </w:rPr>
        <w:t xml:space="preserve">	</w:t>
      </w:r>
      <w:r>
        <w:rPr>
          <w:rFonts w:cs="Times New Roman" w:hAnsi="Times New Roman" w:eastAsia="Times New Roman" w:ascii="Times New Roman"/>
          <w:sz w:val="23"/>
        </w:rPr>
        <w:t xml:space="preserve">16.3	</w:t>
      </w:r>
      <w:r>
        <w:rPr>
          <w:rFonts w:cs="Times New Roman" w:hAnsi="Times New Roman" w:eastAsia="Times New Roman" w:ascii="Times New Roman"/>
          <w:sz w:val="23"/>
        </w:rPr>
        <w:t xml:space="preserve">The Organisation shall, until at least five years after the end date as specified in article</w:t>
      </w:r>
      <w:r>
        <w:rPr>
          <w:rFonts w:cs="Times New Roman" w:hAnsi="Times New Roman" w:eastAsia="Times New Roman" w:ascii="Times New Roman"/>
          <w:sz w:val="23"/>
        </w:rPr>
        <w:t xml:space="preserve"> </w:t>
      </w:r>
    </w:p>
    <w:p>
      <w:pPr>
        <w:spacing w:before="0" w:after="235" w:line="254" w:lineRule="auto"/>
        <w:ind w:left="1332" w:right="14"/>
      </w:pPr>
      <w:r>
        <w:rPr>
          <w:rFonts w:cs="Times New Roman" w:hAnsi="Times New Roman" w:eastAsia="Times New Roman" w:ascii="Times New Roman"/>
          <w:sz w:val="23"/>
        </w:rPr>
        <w:t xml:space="preserve">12.5:</w:t>
      </w:r>
      <w:r>
        <w:rPr>
          <w:rFonts w:cs="Times New Roman" w:hAnsi="Times New Roman" w:eastAsia="Times New Roman" w:ascii="Times New Roman"/>
          <w:sz w:val="23"/>
        </w:rPr>
        <w:t xml:space="preserve"> </w:t>
      </w:r>
    </w:p>
    <w:p>
      <w:pPr>
        <w:numPr>
          <w:ilvl w:val="0"/>
          <w:numId w:val="36"/>
        </w:numPr>
        <w:spacing w:before="0" w:after="235" w:line="254" w:lineRule="auto"/>
        <w:ind w:left="1487" w:right="14" w:hanging="285"/>
      </w:pPr>
      <w:r>
        <w:rPr>
          <w:rFonts w:cs="Times New Roman" w:hAnsi="Times New Roman" w:eastAsia="Times New Roman" w:ascii="Times New Roman"/>
          <w:sz w:val="23"/>
        </w:rPr>
        <w:t xml:space="preserve">keep financial accounting documents concerning the activities financed by the contribution and,</w:t>
      </w:r>
      <w:r>
        <w:rPr>
          <w:rFonts w:cs="Times New Roman" w:hAnsi="Times New Roman" w:eastAsia="Times New Roman" w:ascii="Times New Roman"/>
          <w:sz w:val="23"/>
        </w:rPr>
        <w:t xml:space="preserve"> </w:t>
      </w:r>
    </w:p>
    <w:p>
      <w:pPr>
        <w:numPr>
          <w:ilvl w:val="0"/>
          <w:numId w:val="36"/>
        </w:numPr>
        <w:spacing w:before="0" w:after="235" w:line="254" w:lineRule="auto"/>
        <w:ind w:left="1487" w:right="14" w:hanging="285"/>
      </w:pPr>
      <w:r>
        <w:rPr>
          <w:rFonts w:cs="Times New Roman" w:hAnsi="Times New Roman" w:eastAsia="Times New Roman" w:ascii="Times New Roman"/>
          <w:sz w:val="23"/>
        </w:rPr>
        <w:t xml:space="preserve">make available to the competent bodies of the European Union, upon request, all relevant financial information, including statements of accounts concerning the Action, whether they are executed by the Organisation or by its implementing partners or contractors.</w:t>
      </w:r>
      <w:r>
        <w:rPr>
          <w:rFonts w:cs="Times New Roman" w:hAnsi="Times New Roman" w:eastAsia="Times New Roman" w:ascii="Times New Roman"/>
          <w:sz w:val="23"/>
        </w:rPr>
        <w:t xml:space="preserve"> </w:t>
      </w:r>
    </w:p>
    <w:p>
      <w:pPr>
        <w:numPr>
          <w:ilvl w:val="1"/>
          <w:numId w:val="37"/>
        </w:numPr>
        <w:spacing w:before="0" w:after="235" w:line="254" w:lineRule="auto"/>
        <w:ind w:left="1306" w:right="14" w:hanging="601"/>
      </w:pPr>
      <w:r>
        <w:rPr>
          <w:rFonts w:cs="Times New Roman" w:hAnsi="Times New Roman" w:eastAsia="Times New Roman" w:ascii="Times New Roman"/>
          <w:sz w:val="23"/>
        </w:rPr>
        <w:t xml:space="preserve">In conformity with its financial regulations, the European Union, including its Court of Auditors,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may undertake, including on the spot, checks related to the Actions financed by the Contracting authority.</w:t>
      </w:r>
      <w:r>
        <w:rPr>
          <w:rFonts w:cs="Times New Roman" w:hAnsi="Times New Roman" w:eastAsia="Times New Roman" w:ascii="Times New Roman"/>
          <w:sz w:val="23"/>
        </w:rPr>
        <w:t xml:space="preserve"> </w:t>
      </w:r>
    </w:p>
    <w:p>
      <w:pPr>
        <w:numPr>
          <w:ilvl w:val="1"/>
          <w:numId w:val="37"/>
        </w:numPr>
        <w:spacing w:before="0" w:after="428" w:line="254" w:lineRule="auto"/>
        <w:ind w:left="1306" w:right="14" w:hanging="601"/>
      </w:pPr>
      <w:r>
        <w:rPr>
          <w:rFonts w:cs="Times New Roman" w:hAnsi="Times New Roman" w:eastAsia="Times New Roman" w:ascii="Times New Roman"/>
          <w:sz w:val="23"/>
        </w:rPr>
        <w:t xml:space="preserve">These provisions shall be applied in accordance with any specific agreement concluded in this respect by the Organisation and the European Union</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pStyle w:val="heading5"/>
        <w:spacing w:before="0" w:after="99" w:line="259" w:lineRule="auto"/>
        <w:ind w:left="-5"/>
      </w:pPr>
      <w:r>
        <w:rPr>
          <w:rFonts w:cs="Times New Roman" w:hAnsi="Times New Roman" w:eastAsia="Times New Roman" w:ascii="Times New Roman"/>
          <w:sz w:val="24"/>
        </w:rPr>
        <w:t xml:space="preserve">Article 17 </w:t>
      </w:r>
      <w:r>
        <w:rPr>
          <w:rFonts w:cs="Times New Roman" w:hAnsi="Times New Roman" w:eastAsia="Times New Roman" w:ascii="Times New Roman"/>
          <w:sz w:val="24"/>
        </w:rPr>
        <w:t xml:space="preserve">- </w:t>
      </w:r>
      <w:r>
        <w:rPr>
          <w:rFonts w:cs="Times New Roman" w:hAnsi="Times New Roman" w:eastAsia="Times New Roman" w:ascii="Times New Roman"/>
          <w:sz w:val="18"/>
        </w:rPr>
        <w:t xml:space="preserve"> </w:t>
      </w:r>
      <w:r>
        <w:rPr>
          <w:rFonts w:cs="Times New Roman" w:hAnsi="Times New Roman" w:eastAsia="Times New Roman" w:ascii="Times New Roman"/>
          <w:sz w:val="23"/>
        </w:rPr>
        <w:t xml:space="preserve">F</w:t>
      </w:r>
      <w:r>
        <w:rPr>
          <w:rFonts w:cs="Times New Roman" w:hAnsi="Times New Roman" w:eastAsia="Times New Roman" w:ascii="Times New Roman"/>
          <w:sz w:val="18"/>
        </w:rPr>
        <w:t xml:space="preserve">INAL AMOUNT OF FINANCING BY THE </w:t>
      </w:r>
      <w:r>
        <w:rPr>
          <w:rFonts w:cs="Times New Roman" w:hAnsi="Times New Roman" w:eastAsia="Times New Roman" w:ascii="Times New Roman"/>
          <w:sz w:val="23"/>
        </w:rPr>
        <w:t xml:space="preserve">C</w:t>
      </w:r>
      <w:r>
        <w:rPr>
          <w:rFonts w:cs="Times New Roman" w:hAnsi="Times New Roman" w:eastAsia="Times New Roman" w:ascii="Times New Roman"/>
          <w:sz w:val="18"/>
        </w:rPr>
        <w:t xml:space="preserve">ONTRACTING </w:t>
      </w:r>
      <w:r>
        <w:rPr>
          <w:rFonts w:cs="Times New Roman" w:hAnsi="Times New Roman" w:eastAsia="Times New Roman" w:ascii="Times New Roman"/>
          <w:sz w:val="23"/>
        </w:rPr>
        <w:t xml:space="preserve">A</w:t>
      </w:r>
      <w:r>
        <w:rPr>
          <w:rFonts w:cs="Times New Roman" w:hAnsi="Times New Roman" w:eastAsia="Times New Roman" w:ascii="Times New Roman"/>
          <w:sz w:val="18"/>
        </w:rPr>
        <w:t xml:space="preserve">UTHORITY</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17.1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total final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amount to be paid by the Contracting Authority to the Organisation shall not exceed the maximum contribution established by Article 3(2) of the Special Conditions, even if the overall costs incurred</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exceed the estimated total budget set out in Annex</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III.</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17.2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Article 3(2) of the Special Conditions sets out a maximum percentage of estimated total eligible cost to be financed by the Contracting Authority, and if the eligible costs at the end of the Action are less than the estimated total cost specified in Article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3(1) of the Special Conditions, the contribution of the Contracting Authority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be limited to the amount resulting from</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multiplying the eligible costs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by the percentage laid down in Article 3(2) of the Special Conditions.</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Where the percentage set out in article 3(2) of the Special Conditions is likely to change in the course of implementation, the Organisation shall consult the Contracting Authority without delay so as to agree on appropriate measures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 accordance with</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Article </w:t>
      </w:r>
      <w:r>
        <w:rPr>
          <w:rFonts w:cs="Times New Roman" w:hAnsi="Times New Roman" w:eastAsia="Times New Roman" w:ascii="Times New Roman"/>
          <w:sz w:val="23"/>
        </w:rPr>
        <w:t xml:space="preserve">9.</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17.3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accepts that the contribution of the Contracting Authority shall be limited to the amount required to balance income generated by the Action, donor contributions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expenditure for the Action and that it may not in any circumstances result in a surplus for the Organisation.</w:t>
      </w:r>
      <w:r>
        <w:rPr>
          <w:rFonts w:cs="Times New Roman" w:hAnsi="Times New Roman" w:eastAsia="Times New Roman" w:ascii="Times New Roman"/>
          <w:sz w:val="23"/>
        </w:rPr>
        <w:t xml:space="preserve">   </w:t>
      </w:r>
    </w:p>
    <w:p>
      <w:pPr>
        <w:spacing w:before="0" w:after="235" w:line="254" w:lineRule="auto"/>
        <w:ind w:left="1287" w:right="14"/>
      </w:pPr>
      <w:r>
        <w:rPr>
          <w:rFonts w:cs="Times New Roman" w:hAnsi="Times New Roman" w:eastAsia="Times New Roman" w:ascii="Times New Roman"/>
          <w:sz w:val="23"/>
        </w:rPr>
        <w:t xml:space="preserve">In the event of a final surplus balance of total financing over expenditures at</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financial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closure of the Action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Organisation shall specify in the final report the amount of the surplus balance in the holding currency used by the Organisation together with the estimated amount in Euro and where the exchange rate of the Organisation can be consulted.  This surplus in the Organisation's accounts expressed in holding currency used by the Organisation shall be converted into Euro using the rate of exchange of the Organisation in force on the day when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Contracting Authority's internal recovery order is established, which amount is later reflected in the debit note sent to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 resulting Euro equivalent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then be refunded to the Contracting Authority.</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This provision shall not apply to the exchange rates used for reporting.</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17.4 </w:t>
      </w:r>
      <w:r>
        <w:rPr>
          <w:rFonts w:cs="Times New Roman" w:hAnsi="Times New Roman" w:eastAsia="Times New Roman" w:ascii="Times New Roman"/>
          <w:sz w:val="23"/>
        </w:rPr>
        <w:t xml:space="preserve">In cases where the Action is suspended or not completed within the Implementation Period of this Agreement, the funds that remain unexpended after all liabilities incurred in this period have been satisfied will be reimbursed to the Contracting Authority</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including, where applicable, interest earned</w:t>
      </w:r>
      <w:r>
        <w:rPr>
          <w:rFonts w:cs="Times New Roman" w:hAnsi="Times New Roman" w:eastAsia="Times New Roman" w:ascii="Times New Roman"/>
          <w:sz w:val="23"/>
        </w:rPr>
        <w:t xml:space="preserve">.</w:t>
      </w:r>
      <w:r>
        <w:rPr>
          <w:rFonts w:cs="Times New Roman" w:hAnsi="Times New Roman" w:eastAsia="Times New Roman" w:ascii="Times New Roman"/>
          <w:sz w:val="23"/>
        </w:rPr>
        <w:t xml:space="preserve"> </w:t>
      </w:r>
    </w:p>
    <w:p>
      <w:pPr>
        <w:spacing w:before="0" w:after="407" w:line="254" w:lineRule="auto"/>
        <w:ind w:left="1306" w:right="14" w:hanging="601"/>
      </w:pPr>
      <w:r>
        <w:rPr>
          <w:rFonts w:cs="Times New Roman" w:hAnsi="Times New Roman" w:eastAsia="Times New Roman" w:ascii="Times New Roman"/>
          <w:sz w:val="23"/>
        </w:rPr>
        <w:t xml:space="preserve">17.5</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the Action is not carried out at all, or is not carried out properly, in full or on time and without prejudice to its right to terminate this Agreement pursuant to Article </w:t>
      </w:r>
      <w:r>
        <w:rPr>
          <w:rFonts w:cs="Times New Roman" w:hAnsi="Times New Roman" w:eastAsia="Times New Roman" w:ascii="Times New Roman"/>
          <w:sz w:val="23"/>
        </w:rPr>
        <w:t xml:space="preserve">12.2, </w:t>
      </w:r>
      <w:r>
        <w:rPr>
          <w:rFonts w:cs="Times New Roman" w:hAnsi="Times New Roman" w:eastAsia="Times New Roman" w:ascii="Times New Roman"/>
          <w:sz w:val="23"/>
        </w:rPr>
        <w:t xml:space="preserve">the Contracting Authority may, after allowing the Organisation to submit its observations</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and without prejudice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to Article </w:t>
      </w:r>
      <w:r>
        <w:rPr>
          <w:rFonts w:cs="Times New Roman" w:hAnsi="Times New Roman" w:eastAsia="Times New Roman" w:ascii="Times New Roman"/>
          <w:sz w:val="23"/>
        </w:rPr>
        <w:t xml:space="preserve">13</w:t>
      </w:r>
      <w:r>
        <w:rPr>
          <w:rFonts w:cs="Times New Roman" w:hAnsi="Times New Roman" w:eastAsia="Times New Roman" w:ascii="Times New Roman"/>
          <w:sz w:val="23"/>
        </w:rPr>
        <w:t xml:space="preserve">, reduce the contribution pro rata the actual implementation of the Action on the terms laid down in this Agreement.</w:t>
      </w:r>
      <w:r>
        <w:rPr>
          <w:rFonts w:cs="Times New Roman" w:hAnsi="Times New Roman" w:eastAsia="Times New Roman" w:ascii="Times New Roman"/>
          <w:sz w:val="23"/>
        </w:rPr>
        <w:t xml:space="preserve"> </w:t>
      </w:r>
    </w:p>
    <w:p>
      <w:pPr>
        <w:pStyle w:val="heading6"/>
        <w:spacing w:before="0" w:after="96" w:line="259" w:lineRule="auto"/>
        <w:ind w:left="-5" w:right="0" w:hanging="10"/>
        <w:jc w:val="left"/>
      </w:pPr>
      <w:r>
        <w:rPr>
          <w:rFonts w:cs="Times New Roman" w:hAnsi="Times New Roman" w:eastAsia="Times New Roman" w:ascii="Times New Roman"/>
          <w:b w:val="1"/>
          <w:i w:val="1"/>
          <w:sz w:val="24"/>
        </w:rPr>
        <w:t xml:space="preserve">Article 18 </w:t>
      </w:r>
      <w:r>
        <w:rPr>
          <w:rFonts w:cs="Times New Roman" w:hAnsi="Times New Roman" w:eastAsia="Times New Roman" w:ascii="Times New Roman"/>
          <w:b w:val="1"/>
          <w:i w:val="1"/>
          <w:sz w:val="24"/>
        </w:rPr>
        <w:t xml:space="preserve">- </w:t>
      </w:r>
      <w:r>
        <w:rPr>
          <w:rFonts w:cs="Times New Roman" w:hAnsi="Times New Roman" w:eastAsia="Times New Roman" w:ascii="Times New Roman"/>
          <w:b w:val="1"/>
          <w:i w:val="1"/>
          <w:sz w:val="18"/>
        </w:rPr>
        <w:t xml:space="preserve"> </w:t>
      </w:r>
      <w:r>
        <w:rPr>
          <w:rFonts w:cs="Times New Roman" w:hAnsi="Times New Roman" w:eastAsia="Times New Roman" w:ascii="Times New Roman"/>
          <w:b w:val="1"/>
          <w:i w:val="1"/>
          <w:sz w:val="23"/>
        </w:rPr>
        <w:t xml:space="preserve">R</w:t>
      </w:r>
      <w:r>
        <w:rPr>
          <w:rFonts w:cs="Times New Roman" w:hAnsi="Times New Roman" w:eastAsia="Times New Roman" w:ascii="Times New Roman"/>
          <w:b w:val="1"/>
          <w:i w:val="1"/>
          <w:sz w:val="18"/>
        </w:rPr>
        <w:t xml:space="preserve">ECOVERY</w:t>
      </w:r>
      <w:r>
        <w:rPr>
          <w:rFonts w:cs="Times New Roman" w:hAnsi="Times New Roman" w:eastAsia="Times New Roman" w:ascii="Times New Roman"/>
          <w:b w:val="1"/>
          <w:i w:val="1"/>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18.1</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Where recovery is justified, the Organisation shall</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repay to the Contracting Authority within 45 days of the issuing of a letter (debit note) by which the Contracting Authority reclaims from the Organisation,</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any amounts paid in excess of the final amount due.</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18.2</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If the Organisation fails to repay by the due date, the sum due shall bear interest at the rate indicated in article </w:t>
      </w:r>
      <w:r>
        <w:rPr>
          <w:rFonts w:cs="Times New Roman" w:hAnsi="Times New Roman" w:eastAsia="Times New Roman" w:ascii="Times New Roman"/>
          <w:sz w:val="23"/>
        </w:rPr>
        <w:t xml:space="preserve">15.3</w:t>
      </w:r>
      <w:r>
        <w:rPr>
          <w:rFonts w:cs="Times New Roman" w:hAnsi="Times New Roman" w:eastAsia="Times New Roman" w:ascii="Times New Roman"/>
          <w:sz w:val="23"/>
        </w:rPr>
        <w:t xml:space="preserve">. The interest shall be payable for the period elapsing from the day following expiry of the time limit for payment up to the</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day of payment. Any partial payment shall first cover the interest.</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18.3</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Amounts to be repaid to the Contracting Authority may be offset against amounts of any kind due to the Organisation, after informing it accordingly. The Organisation’s prior consent is not required. This shall not affect the Parties' option to agree on payment in instalments. </w:t>
      </w:r>
      <w:r>
        <w:rPr>
          <w:rFonts w:cs="Times New Roman" w:hAnsi="Times New Roman" w:eastAsia="Times New Roman" w:ascii="Times New Roman"/>
          <w:sz w:val="23"/>
        </w:rPr>
        <w:t xml:space="preserve"> </w:t>
      </w:r>
    </w:p>
    <w:p>
      <w:pPr>
        <w:spacing w:before="0" w:after="235" w:line="254" w:lineRule="auto"/>
        <w:ind w:left="1306" w:right="14" w:hanging="601"/>
      </w:pPr>
      <w:r>
        <w:rPr>
          <w:rFonts w:cs="Times New Roman" w:hAnsi="Times New Roman" w:eastAsia="Times New Roman" w:ascii="Times New Roman"/>
          <w:sz w:val="23"/>
        </w:rPr>
        <w:t xml:space="preserve">18.4</w:t>
      </w:r>
      <w:r>
        <w:rPr>
          <w:rFonts w:cs="Times New Roman" w:hAnsi="Times New Roman" w:eastAsia="Times New Roman" w:ascii="Times New Roman"/>
          <w:sz w:val="23"/>
        </w:rPr>
        <w:t xml:space="preserve"> </w:t>
      </w:r>
      <w:r>
        <w:rPr>
          <w:rFonts w:cs="Times New Roman" w:hAnsi="Times New Roman" w:eastAsia="Times New Roman" w:ascii="Times New Roman"/>
          <w:sz w:val="23"/>
        </w:rPr>
        <w:t xml:space="preserve">Bank charges incurred from the repayment of amounts due to the Contracting Authority shall be borne entirely by the Organisation.</w:t>
      </w:r>
      <w:r>
        <w:rPr>
          <w:rFonts w:cs="Times New Roman" w:hAnsi="Times New Roman" w:eastAsia="Times New Roman" w:ascii="Times New Roman"/>
          <w:sz w:val="23"/>
        </w:rPr>
        <w:t xml:space="preserve"> </w:t>
      </w:r>
    </w:p>
    <w:p>
      <w:pPr>
        <w:sectPr>
          <w:headerReference w:type="even" r:id="rId89"/>
          <w:headerReference w:type="default" r:id="rId87"/>
          <w:headerReference w:type="first" r:id="rId85"/>
          <w:footerReference w:type="even" r:id="rId90"/>
          <w:footerReference w:type="default" r:id="rId88"/>
          <w:footerReference w:type="first" r:id="rId86"/>
          <w:pgSz w:w="11910" w:h="16845" w:orient="portrait"/>
          <w:pgMar w:footer="633" w:left="1427" w:top="1436" w:right="1380" w:bottom="1438"/>
          <w:pgNumType w:fmt="decimal"/>
          <w:cols/>
        </w:sectPr>
      </w:pPr>
    </w:p>
    <w:p>
      <w:pPr>
        <w:spacing w:before="0" w:after="51" w:line="259" w:lineRule="auto"/>
        <w:ind w:left="0" w:right="0" w:firstLine="0"/>
        <w:jc w:val="left"/>
      </w:pPr>
      <w:r>
        <w:rPr>
          <w:rFonts w:cs="Cambria" w:hAnsi="Cambria" w:eastAsia="Cambria" w:ascii="Cambria"/>
          <w:sz w:val="144"/>
        </w:rPr>
        <w:t xml:space="preserve"> </w:t>
      </w:r>
    </w:p>
    <w:p>
      <w:pPr>
        <w:spacing w:before="0" w:after="51" w:line="259" w:lineRule="auto"/>
        <w:ind w:left="0" w:right="0" w:firstLine="0"/>
        <w:jc w:val="left"/>
      </w:pPr>
      <w:r>
        <w:rPr>
          <w:rFonts w:cs="Cambria" w:hAnsi="Cambria" w:eastAsia="Cambria" w:ascii="Cambria"/>
          <w:sz w:val="144"/>
        </w:rPr>
        <w:t xml:space="preserve"> </w:t>
      </w:r>
    </w:p>
    <w:p>
      <w:pPr>
        <w:spacing w:before="0" w:after="49" w:line="259" w:lineRule="auto"/>
        <w:ind w:left="0" w:right="0" w:firstLine="0"/>
        <w:jc w:val="left"/>
      </w:pPr>
      <w:r>
        <w:rPr>
          <w:rFonts w:cs="Cambria" w:hAnsi="Cambria" w:eastAsia="Cambria" w:ascii="Cambria"/>
          <w:sz w:val="144"/>
        </w:rPr>
        <w:t xml:space="preserve"> </w:t>
      </w:r>
    </w:p>
    <w:p>
      <w:pPr>
        <w:spacing w:before="0" w:after="0" w:line="259" w:lineRule="auto"/>
        <w:ind w:left="0" w:right="0" w:firstLine="0"/>
        <w:jc w:val="right"/>
      </w:pPr>
      <w:r>
        <w:rPr>
          <w:rFonts w:cs="Cambria" w:hAnsi="Cambria" w:eastAsia="Cambria" w:ascii="Cambria"/>
          <w:sz w:val="144"/>
        </w:rPr>
        <w:t xml:space="preserve">ANNEX III </w:t>
      </w:r>
    </w:p>
    <w:p>
      <w:pPr>
        <w:sectPr>
          <w:headerReference w:type="even" r:id="rId95"/>
          <w:headerReference w:type="default" r:id="rId93"/>
          <w:headerReference w:type="first" r:id="rId91"/>
          <w:footerReference w:type="even" r:id="rId96"/>
          <w:footerReference w:type="default" r:id="rId94"/>
          <w:footerReference w:type="first" r:id="rId92"/>
          <w:pgSz w:w="11906" w:h="16838" w:orient="portrait"/>
          <w:pgMar w:left="1440" w:top="1440" w:right="2840" w:bottom="1440"/>
          <w:cols/>
        </w:sectPr>
      </w:pPr>
    </w:p>
    <w:p>
      <w:pPr>
        <w:tabs>
          <w:tab w:val="center" w:pos="1921"/>
          <w:tab w:val="right" w:pos="11112"/>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3"/>
        </w:rPr>
        <w:t xml:space="preserve">September 2013 UN Operational Rate of Exchange $1 = Euro .755	</w:t>
      </w:r>
      <w:r>
        <w:rPr>
          <w:rFonts w:cs="Calibri" w:hAnsi="Calibri" w:eastAsia="Calibri" w:ascii="Calibri"/>
          <w:b w:val="1"/>
          <w:color w:val="ffffff"/>
          <w:sz w:val="13"/>
        </w:rPr>
        <w:t xml:space="preserve">0.755</w:t>
      </w:r>
    </w:p>
    <w:tbl>
      <w:tblPr>
        <w:tblStyle w:val="TableGrid"/>
        <w:tblW w:w="14350" w:type="dxa"/>
        <w:tblInd w:w="-507" w:type="dxa"/>
        <w:tblCellMar>
          <w:top w:w="0" w:type="dxa"/>
          <w:left w:w="21" w:type="dxa"/>
          <w:bottom w:w="0" w:type="dxa"/>
          <w:right w:w="19" w:type="dxa"/>
        </w:tblCellMar>
      </w:tblPr>
      <w:tblGrid>
        <w:gridCol w:w="6422"/>
        <w:gridCol w:w="869"/>
        <w:gridCol w:w="907"/>
        <w:gridCol w:w="991"/>
        <w:gridCol w:w="859"/>
        <w:gridCol w:w="336"/>
        <w:gridCol w:w="384"/>
        <w:gridCol w:w="878"/>
        <w:gridCol w:w="888"/>
        <w:gridCol w:w="926"/>
        <w:gridCol w:w="888"/>
      </w:tblGrid>
      <w:tr>
        <w:trPr>
          <w:trHeight w:val="178" w:hRule="atLeast"/>
        </w:trPr>
        <w:tc>
          <w:tcPr>
            <w:tcW w:w="6422" w:type="dxa"/>
            <w:tcBorders>
              <w:top w:val="single" w:sz="9" w:color="000000"/>
              <w:left w:val="single" w:sz="9" w:color="000000"/>
              <w:bottom w:val="single" w:sz="9" w:color="000000"/>
              <w:right w:val="single" w:sz="9" w:color="000000"/>
            </w:tcBorders>
            <w:shd w:val="clear" w:fill="eaf1dd"/>
            <w:vAlign w:val="top"/>
          </w:tcPr>
          <w:p>
            <w:pPr>
              <w:spacing w:before="0" w:after="0" w:line="259" w:lineRule="auto"/>
              <w:ind w:left="37" w:right="0" w:firstLine="0"/>
              <w:jc w:val="left"/>
            </w:pPr>
            <w:r>
              <w:rPr>
                <w:rFonts w:cs="Calibri" w:hAnsi="Calibri" w:eastAsia="Calibri" w:ascii="Calibri"/>
                <w:b w:val="1"/>
                <w:sz w:val="12"/>
              </w:rPr>
              <w:t xml:space="preserve">DEMOCRATIC EMPOWERMENT PROJECT (DEP) WORK PLAN BUDGET </w:t>
            </w:r>
          </w:p>
        </w:tc>
        <w:tc>
          <w:tcPr>
            <w:tcW w:w="869" w:type="dxa"/>
            <w:tcBorders>
              <w:top w:val="single" w:sz="9" w:color="000000"/>
              <w:left w:val="single" w:sz="9" w:color="000000"/>
              <w:bottom w:val="nil"/>
              <w:right w:val="single" w:sz="9" w:color="000000"/>
            </w:tcBorders>
            <w:shd w:val="clear" w:fill="c5d9f1"/>
            <w:vAlign w:val="top"/>
          </w:tcPr>
          <w:p>
            <w:pPr>
              <w:spacing w:before="0" w:after="0" w:line="259" w:lineRule="auto"/>
              <w:ind w:left="13" w:right="0" w:firstLine="0"/>
              <w:jc w:val="center"/>
            </w:pPr>
            <w:r>
              <w:rPr>
                <w:rFonts w:cs="Calibri" w:hAnsi="Calibri" w:eastAsia="Calibri" w:ascii="Calibri"/>
                <w:b w:val="1"/>
                <w:sz w:val="12"/>
              </w:rPr>
              <w:t xml:space="preserve">YEAR 1</w:t>
            </w:r>
          </w:p>
        </w:tc>
        <w:tc>
          <w:tcPr>
            <w:tcW w:w="907" w:type="dxa"/>
            <w:tcBorders>
              <w:top w:val="single" w:sz="9" w:color="000000"/>
              <w:left w:val="single" w:sz="9" w:color="000000"/>
              <w:bottom w:val="nil"/>
              <w:right w:val="single" w:sz="9" w:color="000000"/>
            </w:tcBorders>
            <w:shd w:val="clear" w:fill="c5d9f1"/>
            <w:vAlign w:val="top"/>
          </w:tcPr>
          <w:p>
            <w:pPr>
              <w:spacing w:before="0" w:after="0" w:line="259" w:lineRule="auto"/>
              <w:ind w:left="13" w:right="0" w:firstLine="0"/>
              <w:jc w:val="center"/>
            </w:pPr>
            <w:r>
              <w:rPr>
                <w:rFonts w:cs="Calibri" w:hAnsi="Calibri" w:eastAsia="Calibri" w:ascii="Calibri"/>
                <w:b w:val="1"/>
                <w:sz w:val="12"/>
              </w:rPr>
              <w:t xml:space="preserve">YEAR 2</w:t>
            </w:r>
          </w:p>
        </w:tc>
        <w:tc>
          <w:tcPr>
            <w:tcW w:w="991" w:type="dxa"/>
            <w:tcBorders>
              <w:top w:val="single" w:sz="9" w:color="000000"/>
              <w:left w:val="single" w:sz="9" w:color="000000"/>
              <w:bottom w:val="nil"/>
              <w:right w:val="single" w:sz="9" w:color="000000"/>
            </w:tcBorders>
            <w:shd w:val="clear" w:fill="c5d9f1"/>
            <w:vAlign w:val="top"/>
          </w:tcPr>
          <w:p>
            <w:pPr>
              <w:spacing w:before="0" w:after="0" w:line="259" w:lineRule="auto"/>
              <w:ind w:left="15" w:right="0" w:firstLine="0"/>
              <w:jc w:val="center"/>
            </w:pPr>
            <w:r>
              <w:rPr>
                <w:rFonts w:cs="Calibri" w:hAnsi="Calibri" w:eastAsia="Calibri" w:ascii="Calibri"/>
                <w:b w:val="1"/>
                <w:sz w:val="12"/>
              </w:rPr>
              <w:t xml:space="preserve">YEAR 3</w:t>
            </w:r>
          </w:p>
        </w:tc>
        <w:tc>
          <w:tcPr>
            <w:tcW w:w="859" w:type="dxa"/>
            <w:tcBorders>
              <w:top w:val="single" w:sz="9" w:color="000000"/>
              <w:left w:val="single" w:sz="9" w:color="000000"/>
              <w:bottom w:val="nil"/>
              <w:right w:val="single" w:sz="9" w:color="000000"/>
            </w:tcBorders>
            <w:shd w:val="clear" w:fill="c5d9f1"/>
            <w:vAlign w:val="bottom"/>
          </w:tcPr>
          <w:p>
            <w:pPr>
              <w:bidi w:val="0"/>
              <w:spacing w:before="0" w:after="160" w:line="259" w:lineRule="auto"/>
              <w:ind w:left="0" w:right="0" w:firstLine="0"/>
              <w:jc w:val="left"/>
            </w:pPr>
          </w:p>
        </w:tc>
        <w:tc>
          <w:tcPr>
            <w:tcW w:w="720" w:type="dxa"/>
            <w:gridSpan w:val="2"/>
            <w:vMerge w:val="restart"/>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single" w:sz="9" w:color="000000"/>
              <w:left w:val="single" w:sz="9" w:color="000000"/>
              <w:bottom w:val="nil"/>
              <w:right w:val="single" w:sz="9" w:color="000000"/>
            </w:tcBorders>
            <w:shd w:val="clear" w:fill="c5d9f1"/>
            <w:vAlign w:val="top"/>
          </w:tcPr>
          <w:p>
            <w:pPr>
              <w:spacing w:before="0" w:after="0" w:line="259" w:lineRule="auto"/>
              <w:ind w:left="13" w:right="0" w:firstLine="0"/>
              <w:jc w:val="center"/>
            </w:pPr>
            <w:r>
              <w:rPr>
                <w:rFonts w:cs="Calibri" w:hAnsi="Calibri" w:eastAsia="Calibri" w:ascii="Calibri"/>
                <w:b w:val="1"/>
                <w:sz w:val="12"/>
              </w:rPr>
              <w:t xml:space="preserve">YEAR 1</w:t>
            </w:r>
          </w:p>
        </w:tc>
        <w:tc>
          <w:tcPr>
            <w:tcW w:w="888" w:type="dxa"/>
            <w:tcBorders>
              <w:top w:val="single" w:sz="9" w:color="000000"/>
              <w:left w:val="single" w:sz="9" w:color="000000"/>
              <w:bottom w:val="nil"/>
              <w:right w:val="single" w:sz="9" w:color="000000"/>
            </w:tcBorders>
            <w:shd w:val="clear" w:fill="c5d9f1"/>
            <w:vAlign w:val="top"/>
          </w:tcPr>
          <w:p>
            <w:pPr>
              <w:spacing w:before="0" w:after="0" w:line="259" w:lineRule="auto"/>
              <w:ind w:left="13" w:right="0" w:firstLine="0"/>
              <w:jc w:val="center"/>
            </w:pPr>
            <w:r>
              <w:rPr>
                <w:rFonts w:cs="Calibri" w:hAnsi="Calibri" w:eastAsia="Calibri" w:ascii="Calibri"/>
                <w:b w:val="1"/>
                <w:sz w:val="12"/>
              </w:rPr>
              <w:t xml:space="preserve">YEAR 2</w:t>
            </w:r>
          </w:p>
        </w:tc>
        <w:tc>
          <w:tcPr>
            <w:tcW w:w="926" w:type="dxa"/>
            <w:tcBorders>
              <w:top w:val="single" w:sz="9" w:color="000000"/>
              <w:left w:val="single" w:sz="9" w:color="000000"/>
              <w:bottom w:val="nil"/>
              <w:right w:val="single" w:sz="9" w:color="000000"/>
            </w:tcBorders>
            <w:shd w:val="clear" w:fill="c5d9f1"/>
            <w:vAlign w:val="top"/>
          </w:tcPr>
          <w:p>
            <w:pPr>
              <w:spacing w:before="0" w:after="0" w:line="259" w:lineRule="auto"/>
              <w:ind w:left="13" w:right="0" w:firstLine="0"/>
              <w:jc w:val="center"/>
            </w:pPr>
            <w:r>
              <w:rPr>
                <w:rFonts w:cs="Calibri" w:hAnsi="Calibri" w:eastAsia="Calibri" w:ascii="Calibri"/>
                <w:b w:val="1"/>
                <w:sz w:val="12"/>
              </w:rPr>
              <w:t xml:space="preserve">YEAR 3</w:t>
            </w:r>
          </w:p>
        </w:tc>
        <w:tc>
          <w:tcPr>
            <w:tcW w:w="888" w:type="dxa"/>
            <w:tcBorders>
              <w:top w:val="single" w:sz="9" w:color="000000"/>
              <w:left w:val="single" w:sz="9" w:color="000000"/>
              <w:bottom w:val="nil"/>
              <w:right w:val="single" w:sz="9" w:color="000000"/>
            </w:tcBorders>
            <w:shd w:val="clear" w:fill="c5d9f1"/>
            <w:vAlign w:val="top"/>
          </w:tcPr>
          <w:p>
            <w:pPr>
              <w:bidi w:val="0"/>
              <w:spacing w:before="0" w:after="160" w:line="259" w:lineRule="auto"/>
              <w:ind w:left="0" w:right="0" w:firstLine="0"/>
              <w:jc w:val="left"/>
            </w:pPr>
          </w:p>
        </w:tc>
      </w:tr>
      <w:tr>
        <w:trPr>
          <w:trHeight w:val="168" w:hRule="atLeast"/>
        </w:trPr>
        <w:tc>
          <w:tcPr>
            <w:tcW w:w="6422" w:type="dxa"/>
            <w:tcBorders>
              <w:top w:val="single" w:sz="9" w:color="000000"/>
              <w:left w:val="single" w:sz="9" w:color="000000"/>
              <w:bottom w:val="nil"/>
              <w:right w:val="single" w:sz="9" w:color="000000"/>
            </w:tcBorders>
            <w:shd w:val="clear" w:fill="f1dddc"/>
            <w:vAlign w:val="top"/>
          </w:tcPr>
          <w:p>
            <w:pPr>
              <w:spacing w:before="0" w:after="0" w:line="259" w:lineRule="auto"/>
              <w:ind w:left="37" w:right="0" w:firstLine="0"/>
              <w:jc w:val="left"/>
            </w:pPr>
            <w:r>
              <w:rPr>
                <w:rFonts w:cs="Calibri" w:hAnsi="Calibri" w:eastAsia="Calibri" w:ascii="Calibri"/>
                <w:b w:val="1"/>
                <w:sz w:val="12"/>
              </w:rPr>
              <w:t xml:space="preserve">                COMPONENT/OUTPUT</w:t>
            </w:r>
          </w:p>
        </w:tc>
        <w:tc>
          <w:tcPr>
            <w:tcW w:w="869"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 TOTAL USD</w:t>
            </w: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c5d9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 TOTAL EURO</w:t>
            </w:r>
          </w:p>
        </w:tc>
      </w:tr>
      <w:tr>
        <w:trPr>
          <w:trHeight w:val="178" w:hRule="atLeast"/>
        </w:trPr>
        <w:tc>
          <w:tcPr>
            <w:tcW w:w="6422" w:type="dxa"/>
            <w:tcBorders>
              <w:top w:val="nil"/>
              <w:left w:val="single" w:sz="9" w:color="000000"/>
              <w:bottom w:val="single" w:sz="9" w:color="000000"/>
              <w:right w:val="single" w:sz="9" w:color="000000"/>
            </w:tcBorders>
            <w:shd w:val="clear" w:fill="dbe4f1"/>
            <w:vAlign w:val="top"/>
          </w:tcPr>
          <w:p>
            <w:pPr>
              <w:spacing w:before="0" w:after="0" w:line="259" w:lineRule="auto"/>
              <w:ind w:left="721" w:right="0" w:firstLine="0"/>
              <w:jc w:val="left"/>
            </w:pPr>
            <w:r>
              <w:rPr>
                <w:rFonts w:cs="Calibri" w:hAnsi="Calibri" w:eastAsia="Calibri" w:ascii="Calibri"/>
                <w:b w:val="1"/>
                <w:sz w:val="12"/>
              </w:rPr>
              <w:t xml:space="preserve">                                               Activity</w:t>
            </w:r>
          </w:p>
        </w:tc>
        <w:tc>
          <w:tcPr>
            <w:tcW w:w="869" w:type="dxa"/>
            <w:tcBorders>
              <w:top w:val="nil"/>
              <w:left w:val="single" w:sz="9" w:color="000000"/>
              <w:bottom w:val="single" w:sz="9" w:color="000000"/>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w:t>
            </w:r>
          </w:p>
        </w:tc>
        <w:tc>
          <w:tcPr>
            <w:tcW w:w="907" w:type="dxa"/>
            <w:tcBorders>
              <w:top w:val="nil"/>
              <w:left w:val="single" w:sz="9" w:color="000000"/>
              <w:bottom w:val="single" w:sz="9" w:color="000000"/>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w:t>
            </w:r>
          </w:p>
        </w:tc>
        <w:tc>
          <w:tcPr>
            <w:tcW w:w="991" w:type="dxa"/>
            <w:tcBorders>
              <w:top w:val="nil"/>
              <w:left w:val="single" w:sz="9" w:color="000000"/>
              <w:bottom w:val="single" w:sz="9" w:color="000000"/>
              <w:right w:val="single" w:sz="9" w:color="000000"/>
            </w:tcBorders>
            <w:shd w:val="clear" w:fill="c5d9f1"/>
            <w:vAlign w:val="top"/>
          </w:tcPr>
          <w:p>
            <w:pPr>
              <w:spacing w:before="0" w:after="0" w:line="259" w:lineRule="auto"/>
              <w:ind w:left="0" w:right="3" w:firstLine="0"/>
              <w:jc w:val="center"/>
            </w:pPr>
            <w:r>
              <w:rPr>
                <w:rFonts w:cs="Calibri" w:hAnsi="Calibri" w:eastAsia="Calibri" w:ascii="Calibri"/>
                <w:b w:val="1"/>
                <w:sz w:val="12"/>
              </w:rPr>
              <w:t xml:space="preserve">BUDGET</w:t>
            </w:r>
          </w:p>
        </w:tc>
        <w:tc>
          <w:tcPr>
            <w:tcW w:w="859" w:type="dxa"/>
            <w:tcBorders>
              <w:top w:val="nil"/>
              <w:left w:val="single" w:sz="9" w:color="000000"/>
              <w:bottom w:val="single" w:sz="9" w:color="000000"/>
              <w:right w:val="single" w:sz="9" w:color="000000"/>
            </w:tcBorders>
            <w:shd w:val="clear" w:fill="c5d9f1"/>
            <w:vAlign w:val="top"/>
          </w:tcPr>
          <w:p>
            <w:pPr>
              <w:bidi w:val="0"/>
              <w:spacing w:before="0" w:after="160" w:line="259" w:lineRule="auto"/>
              <w:ind w:left="0" w:right="0" w:firstLine="0"/>
              <w:jc w:val="left"/>
            </w:pP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single" w:sz="9" w:color="000000"/>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w:t>
            </w:r>
          </w:p>
        </w:tc>
        <w:tc>
          <w:tcPr>
            <w:tcW w:w="888" w:type="dxa"/>
            <w:tcBorders>
              <w:top w:val="nil"/>
              <w:left w:val="single" w:sz="9" w:color="000000"/>
              <w:bottom w:val="single" w:sz="9" w:color="000000"/>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w:t>
            </w:r>
          </w:p>
        </w:tc>
        <w:tc>
          <w:tcPr>
            <w:tcW w:w="926" w:type="dxa"/>
            <w:tcBorders>
              <w:top w:val="nil"/>
              <w:left w:val="single" w:sz="9" w:color="000000"/>
              <w:bottom w:val="single" w:sz="9" w:color="000000"/>
              <w:right w:val="single" w:sz="9" w:color="000000"/>
            </w:tcBorders>
            <w:shd w:val="clear" w:fill="c5d9f1"/>
            <w:vAlign w:val="top"/>
          </w:tcPr>
          <w:p>
            <w:pPr>
              <w:spacing w:before="0" w:after="0" w:line="259" w:lineRule="auto"/>
              <w:ind w:left="0" w:right="0" w:firstLine="0"/>
              <w:jc w:val="center"/>
            </w:pPr>
            <w:r>
              <w:rPr>
                <w:rFonts w:cs="Calibri" w:hAnsi="Calibri" w:eastAsia="Calibri" w:ascii="Calibri"/>
                <w:b w:val="1"/>
                <w:sz w:val="12"/>
              </w:rPr>
              <w:t xml:space="preserve">BUDGET</w:t>
            </w:r>
          </w:p>
        </w:tc>
        <w:tc>
          <w:tcPr>
            <w:tcW w:w="888" w:type="dxa"/>
            <w:tcBorders>
              <w:top w:val="nil"/>
              <w:left w:val="single" w:sz="9" w:color="000000"/>
              <w:bottom w:val="single" w:sz="9" w:color="000000"/>
              <w:right w:val="single" w:sz="9" w:color="000000"/>
            </w:tcBorders>
            <w:shd w:val="clear" w:fill="c5d9f1"/>
            <w:vAlign w:val="bottom"/>
          </w:tcPr>
          <w:p>
            <w:pPr>
              <w:bidi w:val="0"/>
              <w:spacing w:before="0" w:after="160" w:line="259" w:lineRule="auto"/>
              <w:ind w:left="0" w:right="0" w:firstLine="0"/>
              <w:jc w:val="left"/>
            </w:pPr>
          </w:p>
        </w:tc>
      </w:tr>
      <w:tr>
        <w:trPr>
          <w:trHeight w:val="202" w:hRule="atLeast"/>
        </w:trPr>
        <w:tc>
          <w:tcPr>
            <w:tcW w:w="6422" w:type="dxa"/>
            <w:tcBorders>
              <w:top w:val="single" w:sz="9" w:color="000000"/>
              <w:left w:val="single" w:sz="9" w:color="000000"/>
              <w:bottom w:val="nil"/>
              <w:right w:val="single" w:sz="9" w:color="000000"/>
            </w:tcBorders>
            <w:shd w:val="clear" w:fill="eaf1dd"/>
            <w:vAlign w:val="top"/>
          </w:tcPr>
          <w:p>
            <w:pPr>
              <w:spacing w:before="0" w:after="0" w:line="259" w:lineRule="auto"/>
              <w:ind w:left="1" w:right="0" w:firstLine="0"/>
              <w:jc w:val="left"/>
            </w:pPr>
            <w:r>
              <w:rPr>
                <w:rFonts w:cs="Calibri" w:hAnsi="Calibri" w:eastAsia="Calibri" w:ascii="Calibri"/>
                <w:b w:val="1"/>
                <w:sz w:val="12"/>
              </w:rPr>
              <w:t xml:space="preserve"> COMPONENT 1: SUPPORT FOR LEGAL AND INSTITUTIONAL REFORM FOR CREDIBLE ELECTIONS  </w:t>
            </w:r>
          </w:p>
        </w:tc>
        <w:tc>
          <w:tcPr>
            <w:tcW w:w="869"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07"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91"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59"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26"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1" w:right="0" w:firstLine="0"/>
              <w:jc w:val="left"/>
            </w:pPr>
            <w:r>
              <w:rPr>
                <w:rFonts w:cs="Calibri" w:hAnsi="Calibri" w:eastAsia="Calibri" w:ascii="Calibri"/>
                <w:b w:val="1"/>
                <w:sz w:val="12"/>
              </w:rPr>
              <w:t xml:space="preserve"> Output 1:  Legal &amp; Institutional Reforms Introduced to Promote Democratic Elections </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1352" w:hRule="atLeast"/>
        </w:trPr>
        <w:tc>
          <w:tcPr>
            <w:tcW w:w="6422" w:type="dxa"/>
            <w:vMerge w:val="restart"/>
            <w:tcBorders>
              <w:top w:val="nil"/>
              <w:left w:val="single" w:sz="9" w:color="000000"/>
              <w:bottom w:val="nil"/>
              <w:right w:val="single" w:sz="9" w:color="000000"/>
            </w:tcBorders>
            <w:vAlign w:val="top"/>
          </w:tcPr>
          <w:p>
            <w:pPr>
              <w:tabs>
                <w:tab w:val="center" w:pos="470"/>
                <w:tab w:val="center" w:pos="2165"/>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1.1.1.	</w:t>
            </w:r>
            <w:r>
              <w:rPr>
                <w:rFonts w:cs="Calibri" w:hAnsi="Calibri" w:eastAsia="Calibri" w:ascii="Calibri"/>
                <w:sz w:val="12"/>
              </w:rPr>
              <w:t xml:space="preserve">Support NEC in updating the election regulations &amp; guidelines</w:t>
            </w:r>
          </w:p>
          <w:p>
            <w:pPr>
              <w:tabs>
                <w:tab w:val="center" w:pos="470"/>
                <w:tab w:val="center" w:pos="1874"/>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1.1.2.	</w:t>
            </w:r>
            <w:r>
              <w:rPr>
                <w:rFonts w:cs="Calibri" w:hAnsi="Calibri" w:eastAsia="Calibri" w:ascii="Calibri"/>
                <w:sz w:val="12"/>
              </w:rPr>
              <w:t xml:space="preserve">Support for referendum law drafting &amp; validation</w:t>
            </w:r>
          </w:p>
          <w:p>
            <w:pPr>
              <w:tabs>
                <w:tab w:val="center" w:pos="470"/>
                <w:tab w:val="center" w:pos="1966"/>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1.1.3.	</w:t>
            </w:r>
            <w:r>
              <w:rPr>
                <w:rFonts w:cs="Calibri" w:hAnsi="Calibri" w:eastAsia="Calibri" w:ascii="Calibri"/>
                <w:sz w:val="12"/>
              </w:rPr>
              <w:t xml:space="preserve">Support the RPP during constitutional review process</w:t>
            </w:r>
          </w:p>
          <w:p>
            <w:pPr>
              <w:tabs>
                <w:tab w:val="center" w:pos="470"/>
                <w:tab w:val="center" w:pos="2546"/>
              </w:tabs>
              <w:spacing w:before="0" w:after="15"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1.1.4.	</w:t>
            </w:r>
            <w:r>
              <w:rPr>
                <w:rFonts w:cs="Calibri" w:hAnsi="Calibri" w:eastAsia="Calibri" w:ascii="Calibri"/>
                <w:sz w:val="12"/>
              </w:rPr>
              <w:t xml:space="preserve">Support research &amp; dialogue on two decades of multiparty system in Tanzania</w:t>
            </w:r>
          </w:p>
          <w:p>
            <w:pPr>
              <w:tabs>
                <w:tab w:val="center" w:pos="470"/>
                <w:tab w:val="center" w:pos="2556"/>
              </w:tabs>
              <w:spacing w:before="0" w:after="33"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1.1.5.	</w:t>
            </w:r>
            <w:r>
              <w:rPr>
                <w:rFonts w:cs="Calibri" w:hAnsi="Calibri" w:eastAsia="Calibri" w:ascii="Calibri"/>
                <w:sz w:val="12"/>
              </w:rPr>
              <w:t xml:space="preserve">Facilitate evaluation of the implementation of the Elections Expenses Act 2010</w:t>
            </w:r>
          </w:p>
          <w:p>
            <w:pPr>
              <w:tabs>
                <w:tab w:val="center" w:pos="470"/>
                <w:tab w:val="center" w:pos="2183"/>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1.1.6.	</w:t>
            </w:r>
            <w:r>
              <w:rPr>
                <w:rFonts w:cs="Calibri" w:hAnsi="Calibri" w:eastAsia="Calibri" w:ascii="Calibri"/>
                <w:sz w:val="12"/>
              </w:rPr>
              <w:t xml:space="preserve">Multi-stakeholder dialog on improved framework for elections</w:t>
            </w:r>
          </w:p>
          <w:p>
            <w:pPr>
              <w:spacing w:before="0" w:after="2" w:line="300" w:lineRule="auto"/>
              <w:ind w:left="340" w:right="2943" w:firstLine="0"/>
              <w:jc w:val="left"/>
            </w:pPr>
            <w:r>
              <w:rPr>
                <w:rFonts w:cs="Calibri" w:hAnsi="Calibri" w:eastAsia="Calibri" w:ascii="Calibri"/>
                <w:sz w:val="12"/>
              </w:rPr>
              <w:t xml:space="preserve">1.1.7.	</w:t>
            </w:r>
            <w:r>
              <w:rPr>
                <w:rFonts w:cs="Calibri" w:hAnsi="Calibri" w:eastAsia="Calibri" w:ascii="Calibri"/>
                <w:sz w:val="12"/>
              </w:rPr>
              <w:t xml:space="preserve">Support to judiciary on EDR for constitutional review </w:t>
            </w:r>
            <w:r>
              <w:rPr>
                <w:rFonts w:cs="Calibri" w:hAnsi="Calibri" w:eastAsia="Calibri" w:ascii="Calibri"/>
                <w:sz w:val="12"/>
              </w:rPr>
              <w:t xml:space="preserve">1.1.8.	</w:t>
            </w:r>
            <w:r>
              <w:rPr>
                <w:rFonts w:cs="Calibri" w:hAnsi="Calibri" w:eastAsia="Calibri" w:ascii="Calibri"/>
                <w:sz w:val="12"/>
              </w:rPr>
              <w:t xml:space="preserve">Long-Term Technical Assistance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16" w:line="259" w:lineRule="auto"/>
              <w:ind w:left="707" w:right="0" w:firstLine="0"/>
              <w:jc w:val="left"/>
            </w:pPr>
            <w:r>
              <w:rPr>
                <w:rFonts w:cs="Calibri" w:hAnsi="Calibri" w:eastAsia="Calibri" w:ascii="Calibri"/>
                <w:sz w:val="12"/>
              </w:rPr>
              <w:t xml:space="preserve">$0</w:t>
            </w:r>
          </w:p>
          <w:p>
            <w:pPr>
              <w:spacing w:before="0" w:after="26" w:line="259" w:lineRule="auto"/>
              <w:ind w:left="0" w:right="5" w:firstLine="0"/>
              <w:jc w:val="right"/>
            </w:pPr>
            <w:r>
              <w:rPr>
                <w:rFonts w:cs="Calibri" w:hAnsi="Calibri" w:eastAsia="Calibri" w:ascii="Calibri"/>
                <w:sz w:val="12"/>
              </w:rPr>
              <w:t xml:space="preserve">$74,924</w:t>
            </w:r>
          </w:p>
          <w:p>
            <w:pPr>
              <w:spacing w:before="0" w:after="0" w:line="259" w:lineRule="auto"/>
              <w:ind w:left="0" w:right="5" w:firstLine="0"/>
              <w:jc w:val="right"/>
            </w:pPr>
            <w:r>
              <w:rPr>
                <w:rFonts w:cs="Calibri" w:hAnsi="Calibri" w:eastAsia="Calibri" w:ascii="Calibri"/>
                <w:b w:val="1"/>
                <w:sz w:val="12"/>
              </w:rPr>
              <w:t xml:space="preserve">$74,924</w:t>
            </w:r>
          </w:p>
        </w:tc>
        <w:tc>
          <w:tcPr>
            <w:tcW w:w="907" w:type="dxa"/>
            <w:vMerge w:val="restart"/>
            <w:tcBorders>
              <w:top w:val="nil"/>
              <w:left w:val="single" w:sz="9" w:color="000000"/>
              <w:bottom w:val="nil"/>
              <w:right w:val="single" w:sz="9" w:color="000000"/>
            </w:tcBorders>
            <w:vAlign w:val="top"/>
          </w:tcPr>
          <w:p>
            <w:pPr>
              <w:spacing w:before="0" w:after="0" w:line="287" w:lineRule="auto"/>
              <w:ind w:left="745" w:right="0" w:hanging="259"/>
              <w:jc w:val="left"/>
            </w:pPr>
            <w:r>
              <w:rPr>
                <w:rFonts w:cs="Calibri" w:hAnsi="Calibri" w:eastAsia="Calibri" w:ascii="Calibri"/>
                <w:sz w:val="12"/>
              </w:rPr>
              <w:t xml:space="preserve">$20,000 $0</w:t>
            </w:r>
          </w:p>
          <w:p>
            <w:pPr>
              <w:spacing w:before="0" w:after="16" w:line="259" w:lineRule="auto"/>
              <w:ind w:left="0" w:right="5" w:firstLine="0"/>
              <w:jc w:val="right"/>
            </w:pPr>
            <w:r>
              <w:rPr>
                <w:rFonts w:cs="Calibri" w:hAnsi="Calibri" w:eastAsia="Calibri" w:ascii="Calibri"/>
                <w:sz w:val="12"/>
              </w:rPr>
              <w:t xml:space="preserve">$0</w:t>
            </w:r>
          </w:p>
          <w:p>
            <w:pPr>
              <w:spacing w:before="0" w:after="16" w:line="259" w:lineRule="auto"/>
              <w:ind w:left="0" w:right="5" w:firstLine="0"/>
              <w:jc w:val="right"/>
            </w:pPr>
            <w:r>
              <w:rPr>
                <w:rFonts w:cs="Calibri" w:hAnsi="Calibri" w:eastAsia="Calibri" w:ascii="Calibri"/>
                <w:sz w:val="12"/>
              </w:rPr>
              <w:t xml:space="preserve">$100,000</w:t>
            </w:r>
          </w:p>
          <w:p>
            <w:pPr>
              <w:spacing w:before="0" w:after="16" w:line="259" w:lineRule="auto"/>
              <w:ind w:left="0" w:right="5" w:firstLine="0"/>
              <w:jc w:val="right"/>
            </w:pPr>
            <w:r>
              <w:rPr>
                <w:rFonts w:cs="Calibri" w:hAnsi="Calibri" w:eastAsia="Calibri" w:ascii="Calibri"/>
                <w:sz w:val="12"/>
              </w:rPr>
              <w:t xml:space="preserve">$60,000</w:t>
            </w:r>
          </w:p>
          <w:p>
            <w:pPr>
              <w:spacing w:before="0" w:after="16" w:line="259" w:lineRule="auto"/>
              <w:ind w:left="0" w:right="5" w:firstLine="0"/>
              <w:jc w:val="right"/>
            </w:pPr>
            <w:r>
              <w:rPr>
                <w:rFonts w:cs="Calibri" w:hAnsi="Calibri" w:eastAsia="Calibri" w:ascii="Calibri"/>
                <w:sz w:val="12"/>
              </w:rPr>
              <w:t xml:space="preserve">$129,090</w:t>
            </w:r>
          </w:p>
          <w:p>
            <w:pPr>
              <w:spacing w:before="0" w:after="16" w:line="259" w:lineRule="auto"/>
              <w:ind w:left="0" w:right="5" w:firstLine="0"/>
              <w:jc w:val="right"/>
            </w:pPr>
            <w:r>
              <w:rPr>
                <w:rFonts w:cs="Calibri" w:hAnsi="Calibri" w:eastAsia="Calibri" w:ascii="Calibri"/>
                <w:sz w:val="12"/>
              </w:rPr>
              <w:t xml:space="preserve">$75,000</w:t>
            </w:r>
          </w:p>
          <w:p>
            <w:pPr>
              <w:spacing w:before="0" w:after="26" w:line="259" w:lineRule="auto"/>
              <w:ind w:left="0" w:right="5" w:firstLine="0"/>
              <w:jc w:val="right"/>
            </w:pPr>
            <w:r>
              <w:rPr>
                <w:rFonts w:cs="Calibri" w:hAnsi="Calibri" w:eastAsia="Calibri" w:ascii="Calibri"/>
                <w:sz w:val="12"/>
              </w:rPr>
              <w:t xml:space="preserve">$228,393</w:t>
            </w:r>
          </w:p>
          <w:p>
            <w:pPr>
              <w:spacing w:before="0" w:after="0" w:line="259" w:lineRule="auto"/>
              <w:ind w:left="0" w:right="5" w:firstLine="0"/>
              <w:jc w:val="right"/>
            </w:pPr>
            <w:r>
              <w:rPr>
                <w:rFonts w:cs="Calibri" w:hAnsi="Calibri" w:eastAsia="Calibri" w:ascii="Calibri"/>
                <w:b w:val="1"/>
                <w:sz w:val="12"/>
              </w:rPr>
              <w:t xml:space="preserve">$612,483</w:t>
            </w:r>
          </w:p>
        </w:tc>
        <w:tc>
          <w:tcPr>
            <w:tcW w:w="991"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$15,000</w:t>
            </w:r>
          </w:p>
          <w:p>
            <w:pPr>
              <w:spacing w:before="0" w:after="16" w:line="259" w:lineRule="auto"/>
              <w:ind w:left="829" w:right="0" w:firstLine="0"/>
              <w:jc w:val="left"/>
            </w:pPr>
            <w:r>
              <w:rPr>
                <w:rFonts w:cs="Calibri" w:hAnsi="Calibri" w:eastAsia="Calibri" w:ascii="Calibri"/>
                <w:sz w:val="12"/>
              </w:rPr>
              <w:t xml:space="preserve">$0</w:t>
            </w:r>
          </w:p>
          <w:p>
            <w:pPr>
              <w:spacing w:before="0" w:after="16" w:line="259" w:lineRule="auto"/>
              <w:ind w:left="829" w:right="0" w:firstLine="0"/>
              <w:jc w:val="left"/>
            </w:pPr>
            <w:r>
              <w:rPr>
                <w:rFonts w:cs="Calibri" w:hAnsi="Calibri" w:eastAsia="Calibri" w:ascii="Calibri"/>
                <w:sz w:val="12"/>
              </w:rPr>
              <w:t xml:space="preserve">$0</w:t>
            </w:r>
          </w:p>
          <w:p>
            <w:pPr>
              <w:spacing w:before="0" w:after="16" w:line="259" w:lineRule="auto"/>
              <w:ind w:left="829" w:right="0" w:firstLine="0"/>
              <w:jc w:val="left"/>
            </w:pPr>
            <w:r>
              <w:rPr>
                <w:rFonts w:cs="Calibri" w:hAnsi="Calibri" w:eastAsia="Calibri" w:ascii="Calibri"/>
                <w:sz w:val="12"/>
              </w:rPr>
              <w:t xml:space="preserve">$0</w:t>
            </w:r>
          </w:p>
          <w:p>
            <w:pPr>
              <w:spacing w:before="0" w:after="16" w:line="259" w:lineRule="auto"/>
              <w:ind w:left="829" w:right="0" w:firstLine="0"/>
              <w:jc w:val="left"/>
            </w:pPr>
            <w:r>
              <w:rPr>
                <w:rFonts w:cs="Calibri" w:hAnsi="Calibri" w:eastAsia="Calibri" w:ascii="Calibri"/>
                <w:sz w:val="12"/>
              </w:rPr>
              <w:t xml:space="preserve">$0</w:t>
            </w:r>
          </w:p>
          <w:p>
            <w:pPr>
              <w:spacing w:before="0" w:after="16" w:line="259" w:lineRule="auto"/>
              <w:ind w:left="829" w:right="0" w:firstLine="0"/>
              <w:jc w:val="left"/>
            </w:pPr>
            <w:r>
              <w:rPr>
                <w:rFonts w:cs="Calibri" w:hAnsi="Calibri" w:eastAsia="Calibri" w:ascii="Calibri"/>
                <w:sz w:val="12"/>
              </w:rPr>
              <w:t xml:space="preserve">$0</w:t>
            </w:r>
          </w:p>
          <w:p>
            <w:pPr>
              <w:spacing w:before="0" w:after="16" w:line="259" w:lineRule="auto"/>
              <w:ind w:left="829" w:right="0" w:firstLine="0"/>
              <w:jc w:val="left"/>
            </w:pPr>
            <w:r>
              <w:rPr>
                <w:rFonts w:cs="Calibri" w:hAnsi="Calibri" w:eastAsia="Calibri" w:ascii="Calibri"/>
                <w:sz w:val="12"/>
              </w:rPr>
              <w:t xml:space="preserve">$0</w:t>
            </w:r>
          </w:p>
          <w:p>
            <w:pPr>
              <w:spacing w:before="0" w:after="26" w:line="259" w:lineRule="auto"/>
              <w:ind w:left="0" w:right="5" w:firstLine="0"/>
              <w:jc w:val="right"/>
            </w:pPr>
            <w:r>
              <w:rPr>
                <w:rFonts w:cs="Calibri" w:hAnsi="Calibri" w:eastAsia="Calibri" w:ascii="Calibri"/>
                <w:sz w:val="12"/>
              </w:rPr>
              <w:t xml:space="preserve">$228,393</w:t>
            </w:r>
          </w:p>
          <w:p>
            <w:pPr>
              <w:spacing w:before="0" w:after="0" w:line="259" w:lineRule="auto"/>
              <w:ind w:left="0" w:right="5" w:firstLine="0"/>
              <w:jc w:val="right"/>
            </w:pPr>
            <w:r>
              <w:rPr>
                <w:rFonts w:cs="Calibri" w:hAnsi="Calibri" w:eastAsia="Calibri" w:ascii="Calibri"/>
                <w:b w:val="1"/>
                <w:sz w:val="12"/>
              </w:rPr>
              <w:t xml:space="preserve">$243,393</w:t>
            </w:r>
          </w:p>
        </w:tc>
        <w:tc>
          <w:tcPr>
            <w:tcW w:w="859" w:type="dxa"/>
            <w:vMerge w:val="restart"/>
            <w:tcBorders>
              <w:top w:val="nil"/>
              <w:left w:val="single" w:sz="9" w:color="000000"/>
              <w:bottom w:val="nil"/>
              <w:right w:val="single" w:sz="9" w:color="000000"/>
            </w:tcBorders>
            <w:vAlign w:val="top"/>
          </w:tcPr>
          <w:p>
            <w:pPr>
              <w:spacing w:before="0" w:after="0" w:line="287" w:lineRule="auto"/>
              <w:ind w:left="702" w:right="0" w:hanging="259"/>
              <w:jc w:val="left"/>
            </w:pPr>
            <w:r>
              <w:rPr>
                <w:rFonts w:cs="Calibri" w:hAnsi="Calibri" w:eastAsia="Calibri" w:ascii="Calibri"/>
                <w:sz w:val="12"/>
              </w:rPr>
              <w:t xml:space="preserve">$35,000 $0</w:t>
            </w:r>
          </w:p>
          <w:p>
            <w:pPr>
              <w:spacing w:before="0" w:after="16" w:line="259" w:lineRule="auto"/>
              <w:ind w:left="0" w:right="0" w:firstLine="0"/>
              <w:jc w:val="right"/>
            </w:pPr>
            <w:r>
              <w:rPr>
                <w:rFonts w:cs="Calibri" w:hAnsi="Calibri" w:eastAsia="Calibri" w:ascii="Calibri"/>
                <w:sz w:val="12"/>
              </w:rPr>
              <w:t xml:space="preserve">$0</w:t>
            </w:r>
          </w:p>
          <w:p>
            <w:pPr>
              <w:spacing w:before="0" w:after="16" w:line="259" w:lineRule="auto"/>
              <w:ind w:left="0" w:right="0" w:firstLine="0"/>
              <w:jc w:val="right"/>
            </w:pPr>
            <w:r>
              <w:rPr>
                <w:rFonts w:cs="Calibri" w:hAnsi="Calibri" w:eastAsia="Calibri" w:ascii="Calibri"/>
                <w:sz w:val="12"/>
              </w:rPr>
              <w:t xml:space="preserve">$100,000</w:t>
            </w:r>
          </w:p>
          <w:p>
            <w:pPr>
              <w:spacing w:before="0" w:after="16" w:line="259" w:lineRule="auto"/>
              <w:ind w:left="0" w:right="0" w:firstLine="0"/>
              <w:jc w:val="right"/>
            </w:pPr>
            <w:r>
              <w:rPr>
                <w:rFonts w:cs="Calibri" w:hAnsi="Calibri" w:eastAsia="Calibri" w:ascii="Calibri"/>
                <w:sz w:val="12"/>
              </w:rPr>
              <w:t xml:space="preserve">$60,000</w:t>
            </w:r>
          </w:p>
          <w:p>
            <w:pPr>
              <w:spacing w:before="0" w:after="16" w:line="259" w:lineRule="auto"/>
              <w:ind w:left="0" w:right="0" w:firstLine="0"/>
              <w:jc w:val="right"/>
            </w:pPr>
            <w:r>
              <w:rPr>
                <w:rFonts w:cs="Calibri" w:hAnsi="Calibri" w:eastAsia="Calibri" w:ascii="Calibri"/>
                <w:sz w:val="12"/>
              </w:rPr>
              <w:t xml:space="preserve">$129,090</w:t>
            </w:r>
          </w:p>
          <w:p>
            <w:pPr>
              <w:spacing w:before="0" w:after="19" w:line="270" w:lineRule="auto"/>
              <w:ind w:left="385" w:right="0" w:firstLine="58"/>
              <w:jc w:val="left"/>
            </w:pPr>
            <w:r>
              <w:rPr>
                <w:rFonts w:cs="Calibri" w:hAnsi="Calibri" w:eastAsia="Calibri" w:ascii="Calibri"/>
                <w:sz w:val="12"/>
              </w:rPr>
              <w:t xml:space="preserve">$75,000 $531,710</w:t>
            </w:r>
          </w:p>
          <w:p>
            <w:pPr>
              <w:spacing w:before="0" w:after="0" w:line="259" w:lineRule="auto"/>
              <w:ind w:left="0" w:right="0" w:firstLine="0"/>
              <w:jc w:val="right"/>
            </w:pPr>
            <w:r>
              <w:rPr>
                <w:rFonts w:cs="Calibri" w:hAnsi="Calibri" w:eastAsia="Calibri" w:ascii="Calibri"/>
                <w:b w:val="1"/>
                <w:sz w:val="12"/>
              </w:rPr>
              <w:t xml:space="preserve">$930,800</w:t>
            </w: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16" w:line="259" w:lineRule="auto"/>
              <w:ind w:left="690" w:right="0" w:firstLine="0"/>
              <w:jc w:val="left"/>
            </w:pPr>
            <w:r>
              <w:rPr>
                <w:rFonts w:cs="Calibri" w:hAnsi="Calibri" w:eastAsia="Calibri" w:ascii="Calibri"/>
                <w:sz w:val="12"/>
              </w:rPr>
              <w:t xml:space="preserve">€ 0</w:t>
            </w:r>
          </w:p>
          <w:p>
            <w:pPr>
              <w:spacing w:before="0" w:after="26" w:line="259" w:lineRule="auto"/>
              <w:ind w:left="0" w:right="5" w:firstLine="0"/>
              <w:jc w:val="right"/>
            </w:pPr>
            <w:r>
              <w:rPr>
                <w:rFonts w:cs="Calibri" w:hAnsi="Calibri" w:eastAsia="Calibri" w:ascii="Calibri"/>
                <w:sz w:val="12"/>
              </w:rPr>
              <w:t xml:space="preserve">€ 56,568</w:t>
            </w:r>
          </w:p>
          <w:p>
            <w:pPr>
              <w:spacing w:before="0" w:after="0" w:line="259" w:lineRule="auto"/>
              <w:ind w:left="0" w:right="5" w:firstLine="0"/>
              <w:jc w:val="right"/>
            </w:pPr>
            <w:r>
              <w:rPr>
                <w:rFonts w:cs="Calibri" w:hAnsi="Calibri" w:eastAsia="Calibri" w:ascii="Calibri"/>
                <w:b w:val="1"/>
                <w:sz w:val="12"/>
              </w:rPr>
              <w:t xml:space="preserve">€ 56,568</w:t>
            </w:r>
          </w:p>
        </w:tc>
        <w:tc>
          <w:tcPr>
            <w:tcW w:w="888" w:type="dxa"/>
            <w:vMerge w:val="restart"/>
            <w:tcBorders>
              <w:top w:val="nil"/>
              <w:left w:val="single" w:sz="9" w:color="000000"/>
              <w:bottom w:val="nil"/>
              <w:right w:val="single" w:sz="9" w:color="000000"/>
            </w:tcBorders>
            <w:vAlign w:val="top"/>
          </w:tcPr>
          <w:p>
            <w:pPr>
              <w:spacing w:before="0" w:after="0" w:line="287" w:lineRule="auto"/>
              <w:ind w:left="699" w:right="0" w:hanging="259"/>
              <w:jc w:val="left"/>
            </w:pPr>
            <w:r>
              <w:rPr>
                <w:rFonts w:cs="Calibri" w:hAnsi="Calibri" w:eastAsia="Calibri" w:ascii="Calibri"/>
                <w:sz w:val="12"/>
              </w:rPr>
              <w:t xml:space="preserve">€ 15,100 € 0</w:t>
            </w:r>
          </w:p>
          <w:p>
            <w:pPr>
              <w:spacing w:before="0" w:after="0" w:line="287" w:lineRule="auto"/>
              <w:ind w:left="440" w:right="5" w:firstLine="0"/>
              <w:jc w:val="right"/>
            </w:pPr>
            <w:r>
              <w:rPr>
                <w:rFonts w:cs="Calibri" w:hAnsi="Calibri" w:eastAsia="Calibri" w:ascii="Calibri"/>
                <w:sz w:val="12"/>
              </w:rPr>
              <w:t xml:space="preserve">€ 0 € 75,500</w:t>
            </w:r>
          </w:p>
          <w:p>
            <w:pPr>
              <w:spacing w:before="0" w:after="16" w:line="259" w:lineRule="auto"/>
              <w:ind w:left="440" w:right="0" w:firstLine="0"/>
              <w:jc w:val="left"/>
            </w:pPr>
            <w:r>
              <w:rPr>
                <w:rFonts w:cs="Calibri" w:hAnsi="Calibri" w:eastAsia="Calibri" w:ascii="Calibri"/>
                <w:sz w:val="12"/>
              </w:rPr>
              <w:t xml:space="preserve">€ 45,300</w:t>
            </w:r>
          </w:p>
          <w:p>
            <w:pPr>
              <w:spacing w:before="0" w:after="16" w:line="259" w:lineRule="auto"/>
              <w:ind w:left="440" w:right="0" w:firstLine="0"/>
              <w:jc w:val="left"/>
            </w:pPr>
            <w:r>
              <w:rPr>
                <w:rFonts w:cs="Calibri" w:hAnsi="Calibri" w:eastAsia="Calibri" w:ascii="Calibri"/>
                <w:sz w:val="12"/>
              </w:rPr>
              <w:t xml:space="preserve">€ 97,463</w:t>
            </w:r>
          </w:p>
          <w:p>
            <w:pPr>
              <w:spacing w:before="0" w:after="16" w:line="259" w:lineRule="auto"/>
              <w:ind w:left="440" w:right="0" w:firstLine="0"/>
              <w:jc w:val="left"/>
            </w:pPr>
            <w:r>
              <w:rPr>
                <w:rFonts w:cs="Calibri" w:hAnsi="Calibri" w:eastAsia="Calibri" w:ascii="Calibri"/>
                <w:sz w:val="12"/>
              </w:rPr>
              <w:t xml:space="preserve">€ 56,625</w:t>
            </w:r>
          </w:p>
          <w:p>
            <w:pPr>
              <w:spacing w:before="0" w:after="26" w:line="259" w:lineRule="auto"/>
              <w:ind w:left="0" w:right="5" w:firstLine="0"/>
              <w:jc w:val="right"/>
            </w:pPr>
            <w:r>
              <w:rPr>
                <w:rFonts w:cs="Calibri" w:hAnsi="Calibri" w:eastAsia="Calibri" w:ascii="Calibri"/>
                <w:sz w:val="12"/>
              </w:rPr>
              <w:t xml:space="preserve">€ 172,437</w:t>
            </w:r>
          </w:p>
          <w:p>
            <w:pPr>
              <w:spacing w:before="0" w:after="0" w:line="259" w:lineRule="auto"/>
              <w:ind w:left="0" w:right="5" w:firstLine="0"/>
              <w:jc w:val="right"/>
            </w:pPr>
            <w:r>
              <w:rPr>
                <w:rFonts w:cs="Calibri" w:hAnsi="Calibri" w:eastAsia="Calibri" w:ascii="Calibri"/>
                <w:b w:val="1"/>
                <w:sz w:val="12"/>
              </w:rPr>
              <w:t xml:space="preserve">€ 462,424</w:t>
            </w:r>
          </w:p>
        </w:tc>
        <w:tc>
          <w:tcPr>
            <w:tcW w:w="926" w:type="dxa"/>
            <w:vMerge w:val="restart"/>
            <w:tcBorders>
              <w:top w:val="nil"/>
              <w:left w:val="single" w:sz="9" w:color="000000"/>
              <w:bottom w:val="nil"/>
              <w:right w:val="single" w:sz="9" w:color="000000"/>
            </w:tcBorders>
            <w:vAlign w:val="top"/>
          </w:tcPr>
          <w:p>
            <w:pPr>
              <w:spacing w:before="0" w:after="0" w:line="287" w:lineRule="auto"/>
              <w:ind w:left="738" w:right="0" w:hanging="259"/>
              <w:jc w:val="left"/>
            </w:pPr>
            <w:r>
              <w:rPr>
                <w:rFonts w:cs="Calibri" w:hAnsi="Calibri" w:eastAsia="Calibri" w:ascii="Calibri"/>
                <w:sz w:val="12"/>
              </w:rPr>
              <w:t xml:space="preserve">€ 11,325 € 0</w:t>
            </w:r>
          </w:p>
          <w:p>
            <w:pPr>
              <w:spacing w:before="0" w:after="16" w:line="259" w:lineRule="auto"/>
              <w:ind w:left="738" w:right="0" w:firstLine="0"/>
              <w:jc w:val="left"/>
            </w:pPr>
            <w:r>
              <w:rPr>
                <w:rFonts w:cs="Calibri" w:hAnsi="Calibri" w:eastAsia="Calibri" w:ascii="Calibri"/>
                <w:sz w:val="12"/>
              </w:rPr>
              <w:t xml:space="preserve">€ 0</w:t>
            </w:r>
          </w:p>
          <w:p>
            <w:pPr>
              <w:spacing w:before="0" w:after="16" w:line="259" w:lineRule="auto"/>
              <w:ind w:left="738" w:right="0" w:firstLine="0"/>
              <w:jc w:val="left"/>
            </w:pPr>
            <w:r>
              <w:rPr>
                <w:rFonts w:cs="Calibri" w:hAnsi="Calibri" w:eastAsia="Calibri" w:ascii="Calibri"/>
                <w:sz w:val="12"/>
              </w:rPr>
              <w:t xml:space="preserve">€ 0</w:t>
            </w:r>
          </w:p>
          <w:p>
            <w:pPr>
              <w:spacing w:before="0" w:after="16" w:line="259" w:lineRule="auto"/>
              <w:ind w:left="738" w:right="0" w:firstLine="0"/>
              <w:jc w:val="left"/>
            </w:pPr>
            <w:r>
              <w:rPr>
                <w:rFonts w:cs="Calibri" w:hAnsi="Calibri" w:eastAsia="Calibri" w:ascii="Calibri"/>
                <w:sz w:val="12"/>
              </w:rPr>
              <w:t xml:space="preserve">€ 0</w:t>
            </w:r>
          </w:p>
          <w:p>
            <w:pPr>
              <w:spacing w:before="0" w:after="16" w:line="259" w:lineRule="auto"/>
              <w:ind w:left="738" w:right="0" w:firstLine="0"/>
              <w:jc w:val="left"/>
            </w:pPr>
            <w:r>
              <w:rPr>
                <w:rFonts w:cs="Calibri" w:hAnsi="Calibri" w:eastAsia="Calibri" w:ascii="Calibri"/>
                <w:sz w:val="12"/>
              </w:rPr>
              <w:t xml:space="preserve">€ 0</w:t>
            </w:r>
          </w:p>
          <w:p>
            <w:pPr>
              <w:spacing w:before="0" w:after="16" w:line="259" w:lineRule="auto"/>
              <w:ind w:left="738" w:right="0" w:firstLine="0"/>
              <w:jc w:val="left"/>
            </w:pPr>
            <w:r>
              <w:rPr>
                <w:rFonts w:cs="Calibri" w:hAnsi="Calibri" w:eastAsia="Calibri" w:ascii="Calibri"/>
                <w:sz w:val="12"/>
              </w:rPr>
              <w:t xml:space="preserve">€ 0</w:t>
            </w:r>
          </w:p>
          <w:p>
            <w:pPr>
              <w:spacing w:before="0" w:after="26" w:line="259" w:lineRule="auto"/>
              <w:ind w:left="0" w:right="5" w:firstLine="0"/>
              <w:jc w:val="right"/>
            </w:pPr>
            <w:r>
              <w:rPr>
                <w:rFonts w:cs="Calibri" w:hAnsi="Calibri" w:eastAsia="Calibri" w:ascii="Calibri"/>
                <w:sz w:val="12"/>
              </w:rPr>
              <w:t xml:space="preserve">€ 172,437</w:t>
            </w:r>
          </w:p>
          <w:p>
            <w:pPr>
              <w:spacing w:before="0" w:after="0" w:line="259" w:lineRule="auto"/>
              <w:ind w:left="0" w:right="5" w:firstLine="0"/>
              <w:jc w:val="right"/>
            </w:pPr>
            <w:r>
              <w:rPr>
                <w:rFonts w:cs="Calibri" w:hAnsi="Calibri" w:eastAsia="Calibri" w:ascii="Calibri"/>
                <w:b w:val="1"/>
                <w:sz w:val="12"/>
              </w:rPr>
              <w:t xml:space="preserve">€ 183,762</w:t>
            </w:r>
          </w:p>
        </w:tc>
        <w:tc>
          <w:tcPr>
            <w:tcW w:w="888" w:type="dxa"/>
            <w:vMerge w:val="restart"/>
            <w:tcBorders>
              <w:top w:val="nil"/>
              <w:left w:val="single" w:sz="9" w:color="000000"/>
              <w:bottom w:val="nil"/>
              <w:right w:val="single" w:sz="9" w:color="000000"/>
            </w:tcBorders>
            <w:vAlign w:val="top"/>
          </w:tcPr>
          <w:p>
            <w:pPr>
              <w:spacing w:before="0" w:after="0" w:line="287" w:lineRule="auto"/>
              <w:ind w:left="704" w:right="0" w:hanging="259"/>
              <w:jc w:val="left"/>
            </w:pPr>
            <w:r>
              <w:rPr>
                <w:rFonts w:cs="Calibri" w:hAnsi="Calibri" w:eastAsia="Calibri" w:ascii="Calibri"/>
                <w:sz w:val="12"/>
              </w:rPr>
              <w:t xml:space="preserve">€ 26,425 € 0</w:t>
            </w:r>
          </w:p>
          <w:p>
            <w:pPr>
              <w:spacing w:before="0" w:after="0" w:line="287" w:lineRule="auto"/>
              <w:ind w:left="445" w:right="0" w:firstLine="0"/>
              <w:jc w:val="right"/>
            </w:pPr>
            <w:r>
              <w:rPr>
                <w:rFonts w:cs="Calibri" w:hAnsi="Calibri" w:eastAsia="Calibri" w:ascii="Calibri"/>
                <w:sz w:val="12"/>
              </w:rPr>
              <w:t xml:space="preserve">€ 0 € 75,500</w:t>
            </w:r>
          </w:p>
          <w:p>
            <w:pPr>
              <w:spacing w:before="0" w:after="16" w:line="259" w:lineRule="auto"/>
              <w:ind w:left="445" w:right="0" w:firstLine="0"/>
              <w:jc w:val="left"/>
            </w:pPr>
            <w:r>
              <w:rPr>
                <w:rFonts w:cs="Calibri" w:hAnsi="Calibri" w:eastAsia="Calibri" w:ascii="Calibri"/>
                <w:sz w:val="12"/>
              </w:rPr>
              <w:t xml:space="preserve">€ 45,300</w:t>
            </w:r>
          </w:p>
          <w:p>
            <w:pPr>
              <w:spacing w:before="0" w:after="16" w:line="259" w:lineRule="auto"/>
              <w:ind w:left="445" w:right="0" w:firstLine="0"/>
              <w:jc w:val="left"/>
            </w:pPr>
            <w:r>
              <w:rPr>
                <w:rFonts w:cs="Calibri" w:hAnsi="Calibri" w:eastAsia="Calibri" w:ascii="Calibri"/>
                <w:sz w:val="12"/>
              </w:rPr>
              <w:t xml:space="preserve">€ 97,463</w:t>
            </w:r>
          </w:p>
          <w:p>
            <w:pPr>
              <w:spacing w:before="0" w:after="7" w:line="259" w:lineRule="auto"/>
              <w:ind w:left="445" w:right="0" w:firstLine="0"/>
              <w:jc w:val="left"/>
            </w:pPr>
            <w:r>
              <w:rPr>
                <w:rFonts w:cs="Calibri" w:hAnsi="Calibri" w:eastAsia="Calibri" w:ascii="Calibri"/>
                <w:sz w:val="12"/>
              </w:rPr>
              <w:t xml:space="preserve">€ 56,625</w:t>
            </w:r>
          </w:p>
          <w:p>
            <w:pPr>
              <w:spacing w:before="0" w:after="43" w:line="259" w:lineRule="auto"/>
              <w:ind w:left="0" w:right="0" w:firstLine="0"/>
              <w:jc w:val="right"/>
            </w:pPr>
            <w:r>
              <w:rPr>
                <w:rFonts w:cs="Calibri" w:hAnsi="Calibri" w:eastAsia="Calibri" w:ascii="Calibri"/>
                <w:sz w:val="12"/>
              </w:rPr>
              <w:t xml:space="preserve">€ 401,441</w:t>
            </w:r>
          </w:p>
          <w:p>
            <w:pPr>
              <w:spacing w:before="0" w:after="0" w:line="259" w:lineRule="auto"/>
              <w:ind w:left="0" w:right="5" w:firstLine="0"/>
              <w:jc w:val="right"/>
            </w:pPr>
            <w:r>
              <w:rPr>
                <w:rFonts w:cs="Calibri" w:hAnsi="Calibri" w:eastAsia="Calibri" w:ascii="Calibri"/>
                <w:b w:val="1"/>
                <w:sz w:val="12"/>
              </w:rPr>
              <w:t xml:space="preserve">€ 702,754</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5%</w:t>
            </w:r>
          </w:p>
        </w:tc>
        <w:tc>
          <w:tcPr>
            <w:tcW w:w="384" w:type="dxa"/>
            <w:vMerge w:val="restart"/>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202" w:hRule="atLeast"/>
        </w:trPr>
        <w:tc>
          <w:tcPr>
            <w:tcW w:w="6422" w:type="dxa"/>
            <w:tcBorders>
              <w:top w:val="nil"/>
              <w:left w:val="single" w:sz="9" w:color="000000"/>
              <w:bottom w:val="nil"/>
              <w:right w:val="single" w:sz="9" w:color="000000"/>
            </w:tcBorders>
            <w:shd w:val="clear" w:fill="eaf1dd"/>
            <w:vAlign w:val="top"/>
          </w:tcPr>
          <w:p>
            <w:pPr>
              <w:spacing w:before="0" w:after="0" w:line="259" w:lineRule="auto"/>
              <w:ind w:left="37" w:right="0" w:firstLine="0"/>
              <w:jc w:val="left"/>
            </w:pPr>
            <w:r>
              <w:rPr>
                <w:rFonts w:cs="Calibri" w:hAnsi="Calibri" w:eastAsia="Calibri" w:ascii="Calibri"/>
                <w:b w:val="1"/>
                <w:sz w:val="12"/>
              </w:rPr>
              <w:t xml:space="preserve">COMPONENT 2:  SUPPORT IMPROVEMENT OF EMB INTEGRITY AND MANAGEMENT CAPACITIES </w:t>
            </w:r>
          </w:p>
        </w:tc>
        <w:tc>
          <w:tcPr>
            <w:tcW w:w="86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eaf1dd"/>
            <w:vAlign w:val="center"/>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37" w:right="0" w:firstLine="0"/>
              <w:jc w:val="left"/>
            </w:pPr>
            <w:r>
              <w:rPr>
                <w:rFonts w:cs="Calibri" w:hAnsi="Calibri" w:eastAsia="Calibri" w:ascii="Calibri"/>
                <w:b w:val="1"/>
                <w:sz w:val="12"/>
              </w:rPr>
              <w:t xml:space="preserve">Output 1: EMBs strategic planning and policy-making capacities improved.</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vMerge w:val="continue"/>
            <w:tcBorders>
              <w:top w:val="nil"/>
              <w:left w:val="single" w:sz="9" w:color="000000"/>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1016" w:hRule="atLeast"/>
        </w:trPr>
        <w:tc>
          <w:tcPr>
            <w:tcW w:w="6422" w:type="dxa"/>
            <w:vMerge w:val="restart"/>
            <w:tcBorders>
              <w:top w:val="nil"/>
              <w:left w:val="single" w:sz="9" w:color="000000"/>
              <w:bottom w:val="nil"/>
              <w:right w:val="single" w:sz="9" w:color="000000"/>
            </w:tcBorders>
            <w:vAlign w:val="top"/>
          </w:tcPr>
          <w:p>
            <w:pPr>
              <w:tabs>
                <w:tab w:val="center" w:pos="470"/>
                <w:tab w:val="center" w:pos="1821"/>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2.1.1.	</w:t>
            </w:r>
            <w:r>
              <w:rPr>
                <w:rFonts w:cs="Calibri" w:hAnsi="Calibri" w:eastAsia="Calibri" w:ascii="Calibri"/>
                <w:sz w:val="12"/>
              </w:rPr>
              <w:t xml:space="preserve">Strategic &amp; operational planning for NEC &amp; ZEC</w:t>
            </w:r>
          </w:p>
          <w:p>
            <w:pPr>
              <w:tabs>
                <w:tab w:val="center" w:pos="470"/>
                <w:tab w:val="center" w:pos="2453"/>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2.1.2.	</w:t>
            </w:r>
            <w:r>
              <w:rPr>
                <w:rFonts w:cs="Calibri" w:hAnsi="Calibri" w:eastAsia="Calibri" w:ascii="Calibri"/>
                <w:sz w:val="12"/>
              </w:rPr>
              <w:t xml:space="preserve">Development &amp; implementation of inclusive business policies &amp; processes</w:t>
            </w:r>
          </w:p>
          <w:p>
            <w:pPr>
              <w:tabs>
                <w:tab w:val="center" w:pos="470"/>
                <w:tab w:val="center" w:pos="1459"/>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2.1.3.	</w:t>
            </w:r>
            <w:r>
              <w:rPr>
                <w:rFonts w:cs="Calibri" w:hAnsi="Calibri" w:eastAsia="Calibri" w:ascii="Calibri"/>
                <w:sz w:val="12"/>
              </w:rPr>
              <w:t xml:space="preserve">Capacity mapping of NEC &amp; ZEC </w:t>
            </w:r>
          </w:p>
          <w:p>
            <w:pPr>
              <w:tabs>
                <w:tab w:val="center" w:pos="470"/>
                <w:tab w:val="center" w:pos="1688"/>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2.1.4.	</w:t>
            </w:r>
            <w:r>
              <w:rPr>
                <w:rFonts w:cs="Calibri" w:hAnsi="Calibri" w:eastAsia="Calibri" w:ascii="Calibri"/>
                <w:sz w:val="12"/>
              </w:rPr>
              <w:t xml:space="preserve">Decentralization Feasibility Study for NEC</w:t>
            </w:r>
          </w:p>
          <w:p>
            <w:pPr>
              <w:spacing w:before="0" w:after="2" w:line="300" w:lineRule="auto"/>
              <w:ind w:left="340" w:right="2778" w:firstLine="0"/>
              <w:jc w:val="left"/>
            </w:pPr>
            <w:r>
              <w:rPr>
                <w:rFonts w:cs="Calibri" w:hAnsi="Calibri" w:eastAsia="Calibri" w:ascii="Calibri"/>
                <w:sz w:val="12"/>
              </w:rPr>
              <w:t xml:space="preserve">2.1.5.	</w:t>
            </w:r>
            <w:r>
              <w:rPr>
                <w:rFonts w:cs="Calibri" w:hAnsi="Calibri" w:eastAsia="Calibri" w:ascii="Calibri"/>
                <w:sz w:val="12"/>
              </w:rPr>
              <w:t xml:space="preserve">Develop performance monitoring systems for NEC &amp; ZEC </w:t>
            </w:r>
            <w:r>
              <w:rPr>
                <w:rFonts w:cs="Calibri" w:hAnsi="Calibri" w:eastAsia="Calibri" w:ascii="Calibri"/>
                <w:sz w:val="12"/>
              </w:rPr>
              <w:t xml:space="preserve">2.1.6	</w:t>
            </w:r>
            <w:r>
              <w:rPr>
                <w:rFonts w:cs="Calibri" w:hAnsi="Calibri" w:eastAsia="Calibri" w:ascii="Calibri"/>
                <w:sz w:val="12"/>
              </w:rPr>
              <w:t xml:space="preserve">Long-Term Technical Assistance (LTTA)</w:t>
            </w:r>
          </w:p>
          <w:p>
            <w:pPr>
              <w:spacing w:before="0" w:after="0" w:line="259" w:lineRule="auto"/>
              <w:ind w:left="0" w:right="42"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16" w:line="259" w:lineRule="auto"/>
              <w:ind w:left="448" w:right="0" w:firstLine="0"/>
              <w:jc w:val="left"/>
            </w:pPr>
            <w:r>
              <w:rPr>
                <w:rFonts w:cs="Calibri" w:hAnsi="Calibri" w:eastAsia="Calibri" w:ascii="Calibri"/>
                <w:sz w:val="12"/>
              </w:rPr>
              <w:t xml:space="preserve">$80,000</w:t>
            </w:r>
          </w:p>
          <w:p>
            <w:pPr>
              <w:spacing w:before="0" w:after="16" w:line="259" w:lineRule="auto"/>
              <w:ind w:left="447" w:right="0" w:firstLine="0"/>
              <w:jc w:val="left"/>
            </w:pPr>
            <w:r>
              <w:rPr>
                <w:rFonts w:cs="Calibri" w:hAnsi="Calibri" w:eastAsia="Calibri" w:ascii="Calibri"/>
                <w:sz w:val="12"/>
              </w:rPr>
              <w:t xml:space="preserve">$68,072</w:t>
            </w:r>
          </w:p>
          <w:p>
            <w:pPr>
              <w:spacing w:before="0" w:after="16" w:line="259" w:lineRule="auto"/>
              <w:ind w:left="447" w:right="0" w:firstLine="0"/>
              <w:jc w:val="left"/>
            </w:pPr>
            <w:r>
              <w:rPr>
                <w:rFonts w:cs="Calibri" w:hAnsi="Calibri" w:eastAsia="Calibri" w:ascii="Calibri"/>
                <w:sz w:val="12"/>
              </w:rPr>
              <w:t xml:space="preserve">$51,572</w:t>
            </w:r>
          </w:p>
          <w:p>
            <w:pPr>
              <w:spacing w:before="0" w:after="16" w:line="259" w:lineRule="auto"/>
              <w:ind w:left="447" w:right="0" w:firstLine="0"/>
              <w:jc w:val="left"/>
            </w:pPr>
            <w:r>
              <w:rPr>
                <w:rFonts w:cs="Calibri" w:hAnsi="Calibri" w:eastAsia="Calibri" w:ascii="Calibri"/>
                <w:sz w:val="12"/>
              </w:rPr>
              <w:t xml:space="preserve">$90,000</w:t>
            </w:r>
          </w:p>
          <w:p>
            <w:pPr>
              <w:spacing w:before="0" w:after="16" w:line="259" w:lineRule="auto"/>
              <w:ind w:left="447" w:right="0" w:firstLine="0"/>
              <w:jc w:val="left"/>
            </w:pPr>
            <w:r>
              <w:rPr>
                <w:rFonts w:cs="Calibri" w:hAnsi="Calibri" w:eastAsia="Calibri" w:ascii="Calibri"/>
                <w:sz w:val="12"/>
              </w:rPr>
              <w:t xml:space="preserve">$43,378</w:t>
            </w:r>
          </w:p>
          <w:p>
            <w:pPr>
              <w:spacing w:before="0" w:after="0" w:line="259" w:lineRule="auto"/>
              <w:ind w:left="389" w:right="0" w:firstLine="58"/>
              <w:jc w:val="left"/>
            </w:pPr>
            <w:r>
              <w:rPr>
                <w:rFonts w:cs="Calibri" w:hAnsi="Calibri" w:eastAsia="Calibri" w:ascii="Calibri"/>
                <w:sz w:val="12"/>
              </w:rPr>
              <w:t xml:space="preserve">$65,490 </w:t>
            </w:r>
            <w:r>
              <w:rPr>
                <w:rFonts w:cs="Calibri" w:hAnsi="Calibri" w:eastAsia="Calibri" w:ascii="Calibri"/>
                <w:b w:val="1"/>
                <w:sz w:val="12"/>
              </w:rPr>
              <w:t xml:space="preserve">$398,512</w:t>
            </w:r>
          </w:p>
        </w:tc>
        <w:tc>
          <w:tcPr>
            <w:tcW w:w="907"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$50,000</w:t>
            </w:r>
          </w:p>
          <w:p>
            <w:pPr>
              <w:spacing w:before="0" w:after="16" w:line="259" w:lineRule="auto"/>
              <w:ind w:left="0" w:right="5" w:firstLine="0"/>
              <w:jc w:val="right"/>
            </w:pPr>
            <w:r>
              <w:rPr>
                <w:rFonts w:cs="Calibri" w:hAnsi="Calibri" w:eastAsia="Calibri" w:ascii="Calibri"/>
                <w:sz w:val="12"/>
              </w:rPr>
              <w:t xml:space="preserve">$0</w:t>
            </w:r>
          </w:p>
          <w:p>
            <w:pPr>
              <w:spacing w:before="0" w:after="0" w:line="287" w:lineRule="auto"/>
              <w:ind w:left="745" w:right="0" w:hanging="259"/>
              <w:jc w:val="left"/>
            </w:pPr>
            <w:r>
              <w:rPr>
                <w:rFonts w:cs="Calibri" w:hAnsi="Calibri" w:eastAsia="Calibri" w:ascii="Calibri"/>
                <w:sz w:val="12"/>
              </w:rPr>
              <w:t xml:space="preserve">$15,000 $0</w:t>
            </w:r>
          </w:p>
          <w:p>
            <w:pPr>
              <w:spacing w:before="0" w:after="10" w:line="287" w:lineRule="auto"/>
              <w:ind w:left="312" w:right="5" w:firstLine="0"/>
              <w:jc w:val="right"/>
            </w:pPr>
            <w:r>
              <w:rPr>
                <w:rFonts w:cs="Calibri" w:hAnsi="Calibri" w:eastAsia="Calibri" w:ascii="Calibri"/>
                <w:sz w:val="12"/>
              </w:rPr>
              <w:t xml:space="preserve">$0 $130,740</w:t>
            </w:r>
          </w:p>
          <w:p>
            <w:pPr>
              <w:spacing w:before="0" w:after="0" w:line="259" w:lineRule="auto"/>
              <w:ind w:left="0" w:right="6" w:firstLine="0"/>
              <w:jc w:val="right"/>
            </w:pPr>
            <w:r>
              <w:rPr>
                <w:rFonts w:cs="Calibri" w:hAnsi="Calibri" w:eastAsia="Calibri" w:ascii="Calibri"/>
                <w:b w:val="1"/>
                <w:sz w:val="12"/>
              </w:rPr>
              <w:t xml:space="preserve">$195,740</w:t>
            </w:r>
          </w:p>
        </w:tc>
        <w:tc>
          <w:tcPr>
            <w:tcW w:w="991"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$50,000</w:t>
            </w:r>
          </w:p>
          <w:p>
            <w:pPr>
              <w:spacing w:before="0" w:after="16" w:line="259" w:lineRule="auto"/>
              <w:ind w:left="0" w:right="5" w:firstLine="0"/>
              <w:jc w:val="right"/>
            </w:pPr>
            <w:r>
              <w:rPr>
                <w:rFonts w:cs="Calibri" w:hAnsi="Calibri" w:eastAsia="Calibri" w:ascii="Calibri"/>
                <w:sz w:val="12"/>
              </w:rPr>
              <w:t xml:space="preserve">$0</w:t>
            </w:r>
          </w:p>
          <w:p>
            <w:pPr>
              <w:spacing w:before="0" w:after="0" w:line="287" w:lineRule="auto"/>
              <w:ind w:left="829" w:right="0" w:hanging="259"/>
              <w:jc w:val="left"/>
            </w:pPr>
            <w:r>
              <w:rPr>
                <w:rFonts w:cs="Calibri" w:hAnsi="Calibri" w:eastAsia="Calibri" w:ascii="Calibri"/>
                <w:sz w:val="12"/>
              </w:rPr>
              <w:t xml:space="preserve">$15,000 $0</w:t>
            </w:r>
          </w:p>
          <w:p>
            <w:pPr>
              <w:spacing w:before="0" w:after="10" w:line="287" w:lineRule="auto"/>
              <w:ind w:left="396" w:right="5" w:firstLine="0"/>
              <w:jc w:val="right"/>
            </w:pPr>
            <w:r>
              <w:rPr>
                <w:rFonts w:cs="Calibri" w:hAnsi="Calibri" w:eastAsia="Calibri" w:ascii="Calibri"/>
                <w:sz w:val="12"/>
              </w:rPr>
              <w:t xml:space="preserve">$0 $130,740</w:t>
            </w:r>
          </w:p>
          <w:p>
            <w:pPr>
              <w:spacing w:before="0" w:after="0" w:line="259" w:lineRule="auto"/>
              <w:ind w:left="0" w:right="6" w:firstLine="0"/>
              <w:jc w:val="right"/>
            </w:pPr>
            <w:r>
              <w:rPr>
                <w:rFonts w:cs="Calibri" w:hAnsi="Calibri" w:eastAsia="Calibri" w:ascii="Calibri"/>
                <w:b w:val="1"/>
                <w:sz w:val="12"/>
              </w:rPr>
              <w:t xml:space="preserve">$195,740</w:t>
            </w:r>
          </w:p>
        </w:tc>
        <w:tc>
          <w:tcPr>
            <w:tcW w:w="859" w:type="dxa"/>
            <w:vMerge w:val="restart"/>
            <w:tcBorders>
              <w:top w:val="nil"/>
              <w:left w:val="single" w:sz="9" w:color="000000"/>
              <w:bottom w:val="nil"/>
              <w:right w:val="single" w:sz="9" w:color="000000"/>
            </w:tcBorders>
            <w:vAlign w:val="top"/>
          </w:tcPr>
          <w:p>
            <w:pPr>
              <w:spacing w:before="0" w:after="0" w:line="287" w:lineRule="auto"/>
              <w:ind w:left="437" w:right="0" w:hanging="57"/>
              <w:jc w:val="left"/>
            </w:pPr>
            <w:r>
              <w:rPr>
                <w:rFonts w:cs="Calibri" w:hAnsi="Calibri" w:eastAsia="Calibri" w:ascii="Calibri"/>
                <w:sz w:val="12"/>
              </w:rPr>
              <w:t xml:space="preserve">$180,000 $68,072</w:t>
            </w:r>
          </w:p>
          <w:p>
            <w:pPr>
              <w:spacing w:before="0" w:after="16" w:line="259" w:lineRule="auto"/>
              <w:ind w:left="0" w:right="5" w:firstLine="0"/>
              <w:jc w:val="right"/>
            </w:pPr>
            <w:r>
              <w:rPr>
                <w:rFonts w:cs="Calibri" w:hAnsi="Calibri" w:eastAsia="Calibri" w:ascii="Calibri"/>
                <w:sz w:val="12"/>
              </w:rPr>
              <w:t xml:space="preserve">$81,572</w:t>
            </w:r>
          </w:p>
          <w:p>
            <w:pPr>
              <w:spacing w:before="0" w:after="16" w:line="259" w:lineRule="auto"/>
              <w:ind w:left="0" w:right="5" w:firstLine="0"/>
              <w:jc w:val="right"/>
            </w:pPr>
            <w:r>
              <w:rPr>
                <w:rFonts w:cs="Calibri" w:hAnsi="Calibri" w:eastAsia="Calibri" w:ascii="Calibri"/>
                <w:sz w:val="12"/>
              </w:rPr>
              <w:t xml:space="preserve">$90,000</w:t>
            </w:r>
          </w:p>
          <w:p>
            <w:pPr>
              <w:spacing w:before="0" w:after="10" w:line="287" w:lineRule="auto"/>
              <w:ind w:left="380" w:right="0" w:firstLine="58"/>
              <w:jc w:val="left"/>
            </w:pPr>
            <w:r>
              <w:rPr>
                <w:rFonts w:cs="Calibri" w:hAnsi="Calibri" w:eastAsia="Calibri" w:ascii="Calibri"/>
                <w:sz w:val="12"/>
              </w:rPr>
              <w:t xml:space="preserve">$43,378 $326,969</w:t>
            </w:r>
          </w:p>
          <w:p>
            <w:pPr>
              <w:spacing w:before="0" w:after="0" w:line="259" w:lineRule="auto"/>
              <w:ind w:left="0" w:right="6" w:firstLine="0"/>
              <w:jc w:val="right"/>
            </w:pPr>
            <w:r>
              <w:rPr>
                <w:rFonts w:cs="Calibri" w:hAnsi="Calibri" w:eastAsia="Calibri" w:ascii="Calibri"/>
                <w:b w:val="1"/>
                <w:sz w:val="12"/>
              </w:rPr>
              <w:t xml:space="preserve">$789,991</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431" w:right="0" w:firstLine="0"/>
              <w:jc w:val="left"/>
            </w:pPr>
            <w:r>
              <w:rPr>
                <w:rFonts w:cs="Calibri" w:hAnsi="Calibri" w:eastAsia="Calibri" w:ascii="Calibri"/>
                <w:sz w:val="12"/>
              </w:rPr>
              <w:t xml:space="preserve">€ 60,400</w:t>
            </w:r>
          </w:p>
          <w:p>
            <w:pPr>
              <w:spacing w:before="0" w:after="16" w:line="259" w:lineRule="auto"/>
              <w:ind w:left="431" w:right="0" w:firstLine="0"/>
              <w:jc w:val="left"/>
            </w:pPr>
            <w:r>
              <w:rPr>
                <w:rFonts w:cs="Calibri" w:hAnsi="Calibri" w:eastAsia="Calibri" w:ascii="Calibri"/>
                <w:sz w:val="12"/>
              </w:rPr>
              <w:t xml:space="preserve">€ 51,394</w:t>
            </w:r>
          </w:p>
          <w:p>
            <w:pPr>
              <w:spacing w:before="0" w:after="16" w:line="259" w:lineRule="auto"/>
              <w:ind w:left="431" w:right="0" w:firstLine="0"/>
              <w:jc w:val="left"/>
            </w:pPr>
            <w:r>
              <w:rPr>
                <w:rFonts w:cs="Calibri" w:hAnsi="Calibri" w:eastAsia="Calibri" w:ascii="Calibri"/>
                <w:sz w:val="12"/>
              </w:rPr>
              <w:t xml:space="preserve">€ 38,937</w:t>
            </w:r>
          </w:p>
          <w:p>
            <w:pPr>
              <w:spacing w:before="0" w:after="16" w:line="259" w:lineRule="auto"/>
              <w:ind w:left="430" w:right="0" w:firstLine="0"/>
              <w:jc w:val="left"/>
            </w:pPr>
            <w:r>
              <w:rPr>
                <w:rFonts w:cs="Calibri" w:hAnsi="Calibri" w:eastAsia="Calibri" w:ascii="Calibri"/>
                <w:sz w:val="12"/>
              </w:rPr>
              <w:t xml:space="preserve">€ 67,950</w:t>
            </w:r>
          </w:p>
          <w:p>
            <w:pPr>
              <w:spacing w:before="0" w:after="16" w:line="259" w:lineRule="auto"/>
              <w:ind w:left="430" w:right="0" w:firstLine="0"/>
              <w:jc w:val="left"/>
            </w:pPr>
            <w:r>
              <w:rPr>
                <w:rFonts w:cs="Calibri" w:hAnsi="Calibri" w:eastAsia="Calibri" w:ascii="Calibri"/>
                <w:sz w:val="12"/>
              </w:rPr>
              <w:t xml:space="preserve">€ 32,750</w:t>
            </w:r>
          </w:p>
          <w:p>
            <w:pPr>
              <w:spacing w:before="0" w:after="0" w:line="259" w:lineRule="auto"/>
              <w:ind w:left="372" w:right="0" w:firstLine="58"/>
              <w:jc w:val="left"/>
            </w:pPr>
            <w:r>
              <w:rPr>
                <w:rFonts w:cs="Calibri" w:hAnsi="Calibri" w:eastAsia="Calibri" w:ascii="Calibri"/>
                <w:sz w:val="12"/>
              </w:rPr>
              <w:t xml:space="preserve">€ 49,445 </w:t>
            </w:r>
            <w:r>
              <w:rPr>
                <w:rFonts w:cs="Calibri" w:hAnsi="Calibri" w:eastAsia="Calibri" w:ascii="Calibri"/>
                <w:b w:val="1"/>
                <w:sz w:val="12"/>
              </w:rPr>
              <w:t xml:space="preserve">€ 300,876</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€ 37,750</w:t>
            </w:r>
          </w:p>
          <w:p>
            <w:pPr>
              <w:spacing w:before="0" w:after="16" w:line="259" w:lineRule="auto"/>
              <w:ind w:left="0" w:right="5" w:firstLine="0"/>
              <w:jc w:val="right"/>
            </w:pPr>
            <w:r>
              <w:rPr>
                <w:rFonts w:cs="Calibri" w:hAnsi="Calibri" w:eastAsia="Calibri" w:ascii="Calibri"/>
                <w:sz w:val="12"/>
              </w:rPr>
              <w:t xml:space="preserve">€ 0</w:t>
            </w:r>
          </w:p>
          <w:p>
            <w:pPr>
              <w:spacing w:before="0" w:after="0" w:line="287" w:lineRule="auto"/>
              <w:ind w:left="699" w:right="0" w:hanging="259"/>
              <w:jc w:val="left"/>
            </w:pPr>
            <w:r>
              <w:rPr>
                <w:rFonts w:cs="Calibri" w:hAnsi="Calibri" w:eastAsia="Calibri" w:ascii="Calibri"/>
                <w:sz w:val="12"/>
              </w:rPr>
              <w:t xml:space="preserve">€ 11,325 € 0</w:t>
            </w:r>
          </w:p>
          <w:p>
            <w:pPr>
              <w:spacing w:before="0" w:after="16" w:line="259" w:lineRule="auto"/>
              <w:ind w:left="0" w:right="5" w:firstLine="0"/>
              <w:jc w:val="right"/>
            </w:pPr>
            <w:r>
              <w:rPr>
                <w:rFonts w:cs="Calibri" w:hAnsi="Calibri" w:eastAsia="Calibri" w:ascii="Calibri"/>
                <w:sz w:val="12"/>
              </w:rPr>
              <w:t xml:space="preserve">€ 0</w:t>
            </w:r>
          </w:p>
          <w:p>
            <w:pPr>
              <w:spacing w:before="0" w:after="0" w:line="259" w:lineRule="auto"/>
              <w:ind w:left="382" w:right="0" w:firstLine="58"/>
              <w:jc w:val="left"/>
            </w:pPr>
            <w:r>
              <w:rPr>
                <w:rFonts w:cs="Calibri" w:hAnsi="Calibri" w:eastAsia="Calibri" w:ascii="Calibri"/>
                <w:sz w:val="12"/>
              </w:rPr>
              <w:t xml:space="preserve">€ 98,708 </w:t>
            </w:r>
            <w:r>
              <w:rPr>
                <w:rFonts w:cs="Calibri" w:hAnsi="Calibri" w:eastAsia="Calibri" w:ascii="Calibri"/>
                <w:b w:val="1"/>
                <w:sz w:val="12"/>
              </w:rPr>
              <w:t xml:space="preserve">€ 147,783</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€ 37,750</w:t>
            </w:r>
          </w:p>
          <w:p>
            <w:pPr>
              <w:spacing w:before="0" w:after="16" w:line="259" w:lineRule="auto"/>
              <w:ind w:left="0" w:right="5" w:firstLine="0"/>
              <w:jc w:val="right"/>
            </w:pPr>
            <w:r>
              <w:rPr>
                <w:rFonts w:cs="Calibri" w:hAnsi="Calibri" w:eastAsia="Calibri" w:ascii="Calibri"/>
                <w:sz w:val="12"/>
              </w:rPr>
              <w:t xml:space="preserve">€ 0</w:t>
            </w:r>
          </w:p>
          <w:p>
            <w:pPr>
              <w:spacing w:before="0" w:after="0" w:line="287" w:lineRule="auto"/>
              <w:ind w:left="738" w:right="0" w:hanging="259"/>
              <w:jc w:val="left"/>
            </w:pPr>
            <w:r>
              <w:rPr>
                <w:rFonts w:cs="Calibri" w:hAnsi="Calibri" w:eastAsia="Calibri" w:ascii="Calibri"/>
                <w:sz w:val="12"/>
              </w:rPr>
              <w:t xml:space="preserve">€ 11,325 € 0</w:t>
            </w:r>
          </w:p>
          <w:p>
            <w:pPr>
              <w:spacing w:before="0" w:after="16" w:line="259" w:lineRule="auto"/>
              <w:ind w:left="0" w:right="5" w:firstLine="0"/>
              <w:jc w:val="right"/>
            </w:pPr>
            <w:r>
              <w:rPr>
                <w:rFonts w:cs="Calibri" w:hAnsi="Calibri" w:eastAsia="Calibri" w:ascii="Calibri"/>
                <w:sz w:val="12"/>
              </w:rPr>
              <w:t xml:space="preserve">€ 0</w:t>
            </w:r>
          </w:p>
          <w:p>
            <w:pPr>
              <w:spacing w:before="0" w:after="0" w:line="259" w:lineRule="auto"/>
              <w:ind w:left="420" w:right="0" w:firstLine="58"/>
              <w:jc w:val="left"/>
            </w:pPr>
            <w:r>
              <w:rPr>
                <w:rFonts w:cs="Calibri" w:hAnsi="Calibri" w:eastAsia="Calibri" w:ascii="Calibri"/>
                <w:sz w:val="12"/>
              </w:rPr>
              <w:t xml:space="preserve">€ 98,708 </w:t>
            </w:r>
            <w:r>
              <w:rPr>
                <w:rFonts w:cs="Calibri" w:hAnsi="Calibri" w:eastAsia="Calibri" w:ascii="Calibri"/>
                <w:b w:val="1"/>
                <w:sz w:val="12"/>
              </w:rPr>
              <w:t xml:space="preserve">€ 147,783</w:t>
            </w:r>
          </w:p>
        </w:tc>
        <w:tc>
          <w:tcPr>
            <w:tcW w:w="888" w:type="dxa"/>
            <w:vMerge w:val="restart"/>
            <w:tcBorders>
              <w:top w:val="nil"/>
              <w:left w:val="single" w:sz="9" w:color="000000"/>
              <w:bottom w:val="nil"/>
              <w:right w:val="single" w:sz="9" w:color="000000"/>
            </w:tcBorders>
            <w:vAlign w:val="top"/>
          </w:tcPr>
          <w:p>
            <w:pPr>
              <w:spacing w:before="0" w:after="0" w:line="287" w:lineRule="auto"/>
              <w:ind w:left="440" w:right="0" w:hanging="57"/>
              <w:jc w:val="left"/>
            </w:pPr>
            <w:r>
              <w:rPr>
                <w:rFonts w:cs="Calibri" w:hAnsi="Calibri" w:eastAsia="Calibri" w:ascii="Calibri"/>
                <w:sz w:val="12"/>
              </w:rPr>
              <w:t xml:space="preserve">€ 135,900 € 51,394</w:t>
            </w:r>
          </w:p>
          <w:p>
            <w:pPr>
              <w:spacing w:before="0" w:after="16" w:line="259" w:lineRule="auto"/>
              <w:ind w:left="0" w:right="5" w:firstLine="0"/>
              <w:jc w:val="right"/>
            </w:pPr>
            <w:r>
              <w:rPr>
                <w:rFonts w:cs="Calibri" w:hAnsi="Calibri" w:eastAsia="Calibri" w:ascii="Calibri"/>
                <w:sz w:val="12"/>
              </w:rPr>
              <w:t xml:space="preserve">€ 61,587</w:t>
            </w:r>
          </w:p>
          <w:p>
            <w:pPr>
              <w:spacing w:before="0" w:after="16" w:line="259" w:lineRule="auto"/>
              <w:ind w:left="0" w:right="5" w:firstLine="0"/>
              <w:jc w:val="right"/>
            </w:pPr>
            <w:r>
              <w:rPr>
                <w:rFonts w:cs="Calibri" w:hAnsi="Calibri" w:eastAsia="Calibri" w:ascii="Calibri"/>
                <w:sz w:val="12"/>
              </w:rPr>
              <w:t xml:space="preserve">€ 67,950</w:t>
            </w:r>
          </w:p>
          <w:p>
            <w:pPr>
              <w:spacing w:before="0" w:after="10" w:line="287" w:lineRule="auto"/>
              <w:ind w:left="382" w:right="0" w:firstLine="58"/>
              <w:jc w:val="left"/>
            </w:pPr>
            <w:r>
              <w:rPr>
                <w:rFonts w:cs="Calibri" w:hAnsi="Calibri" w:eastAsia="Calibri" w:ascii="Calibri"/>
                <w:sz w:val="12"/>
              </w:rPr>
              <w:t xml:space="preserve">€ 32,750 € 246,861</w:t>
            </w:r>
          </w:p>
          <w:p>
            <w:pPr>
              <w:spacing w:before="0" w:after="0" w:line="259" w:lineRule="auto"/>
              <w:ind w:left="0" w:right="6" w:firstLine="0"/>
              <w:jc w:val="right"/>
            </w:pPr>
            <w:r>
              <w:rPr>
                <w:rFonts w:cs="Calibri" w:hAnsi="Calibri" w:eastAsia="Calibri" w:ascii="Calibri"/>
                <w:b w:val="1"/>
                <w:sz w:val="12"/>
              </w:rPr>
              <w:t xml:space="preserve">€ 596,443</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0" w:right="0" w:firstLine="0"/>
              <w:jc w:val="left"/>
            </w:pPr>
            <w:r>
              <w:rPr>
                <w:rFonts w:cs="Calibri" w:hAnsi="Calibri" w:eastAsia="Calibri" w:ascii="Calibri"/>
                <w:sz w:val="12"/>
              </w:rPr>
              <w:t xml:space="preserve">4%</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36" w:right="0" w:firstLine="0"/>
              <w:jc w:val="left"/>
            </w:pPr>
            <w:r>
              <w:rPr>
                <w:rFonts w:cs="Calibri" w:hAnsi="Calibri" w:eastAsia="Calibri" w:ascii="Calibri"/>
                <w:b w:val="1"/>
                <w:sz w:val="12"/>
              </w:rPr>
              <w:t xml:space="preserve">Output 2: EMBs Capacity to Use ICT Enhanced</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680" w:hRule="atLeast"/>
        </w:trPr>
        <w:tc>
          <w:tcPr>
            <w:tcW w:w="6422" w:type="dxa"/>
            <w:vMerge w:val="restart"/>
            <w:tcBorders>
              <w:top w:val="nil"/>
              <w:left w:val="single" w:sz="9" w:color="000000"/>
              <w:bottom w:val="nil"/>
              <w:right w:val="single" w:sz="9" w:color="000000"/>
            </w:tcBorders>
            <w:vAlign w:val="top"/>
          </w:tcPr>
          <w:p>
            <w:pPr>
              <w:tabs>
                <w:tab w:val="center" w:pos="470"/>
                <w:tab w:val="center" w:pos="2061"/>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2.2.1.	</w:t>
            </w:r>
            <w:r>
              <w:rPr>
                <w:rFonts w:cs="Calibri" w:hAnsi="Calibri" w:eastAsia="Calibri" w:ascii="Calibri"/>
                <w:sz w:val="12"/>
              </w:rPr>
              <w:t xml:space="preserve">Support EMBs to improve their ICT management capacity</w:t>
            </w:r>
          </w:p>
          <w:p>
            <w:pPr>
              <w:tabs>
                <w:tab w:val="center" w:pos="470"/>
                <w:tab w:val="center" w:pos="2372"/>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2.2.2.	</w:t>
            </w:r>
            <w:r>
              <w:rPr>
                <w:rFonts w:cs="Calibri" w:hAnsi="Calibri" w:eastAsia="Calibri" w:ascii="Calibri"/>
                <w:sz w:val="12"/>
              </w:rPr>
              <w:t xml:space="preserve">Advisory services for introduction of bio-metric voter registation (BVR)</w:t>
            </w:r>
          </w:p>
          <w:p>
            <w:pPr>
              <w:tabs>
                <w:tab w:val="center" w:pos="470"/>
                <w:tab w:val="center" w:pos="1495"/>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2.2.3.	</w:t>
            </w:r>
            <w:r>
              <w:rPr>
                <w:rFonts w:cs="Calibri" w:hAnsi="Calibri" w:eastAsia="Calibri" w:ascii="Calibri"/>
                <w:sz w:val="12"/>
              </w:rPr>
              <w:t xml:space="preserve">Suport audit of the voter register</w:t>
            </w:r>
          </w:p>
          <w:p>
            <w:pPr>
              <w:tabs>
                <w:tab w:val="center" w:pos="470"/>
                <w:tab w:val="center" w:pos="1624"/>
              </w:tabs>
              <w:spacing w:before="0" w:after="26"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2.2.4.	</w:t>
            </w:r>
            <w:r>
              <w:rPr>
                <w:rFonts w:cs="Calibri" w:hAnsi="Calibri" w:eastAsia="Calibri" w:ascii="Calibri"/>
                <w:sz w:val="12"/>
              </w:rPr>
              <w:t xml:space="preserve">Long-Term Technical Assistance (LTTA)</w:t>
            </w:r>
          </w:p>
          <w:p>
            <w:pPr>
              <w:spacing w:before="0" w:after="0" w:line="259" w:lineRule="auto"/>
              <w:ind w:left="0" w:right="42"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$730,253</w:t>
            </w:r>
          </w:p>
          <w:p>
            <w:pPr>
              <w:spacing w:before="0" w:after="16" w:line="259" w:lineRule="auto"/>
              <w:ind w:left="0" w:right="6" w:firstLine="0"/>
              <w:jc w:val="right"/>
            </w:pPr>
            <w:r>
              <w:rPr>
                <w:rFonts w:cs="Calibri" w:hAnsi="Calibri" w:eastAsia="Calibri" w:ascii="Calibri"/>
                <w:sz w:val="12"/>
              </w:rPr>
              <w:t xml:space="preserve">$120,148</w:t>
            </w:r>
          </w:p>
          <w:p>
            <w:pPr>
              <w:spacing w:before="0" w:after="10" w:line="287" w:lineRule="auto"/>
              <w:ind w:left="273" w:right="6" w:firstLine="0"/>
              <w:jc w:val="right"/>
            </w:pPr>
            <w:r>
              <w:rPr>
                <w:rFonts w:cs="Calibri" w:hAnsi="Calibri" w:eastAsia="Calibri" w:ascii="Calibri"/>
                <w:sz w:val="12"/>
              </w:rPr>
              <w:t xml:space="preserve">$0 $127,668</w:t>
            </w:r>
          </w:p>
          <w:p>
            <w:pPr>
              <w:spacing w:before="0" w:after="0" w:line="259" w:lineRule="auto"/>
              <w:ind w:left="0" w:right="6" w:firstLine="0"/>
              <w:jc w:val="right"/>
            </w:pPr>
            <w:r>
              <w:rPr>
                <w:rFonts w:cs="Calibri" w:hAnsi="Calibri" w:eastAsia="Calibri" w:ascii="Calibri"/>
                <w:b w:val="1"/>
                <w:sz w:val="12"/>
              </w:rPr>
              <w:t xml:space="preserve">$978,069</w:t>
            </w:r>
          </w:p>
        </w:tc>
        <w:tc>
          <w:tcPr>
            <w:tcW w:w="907"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$80,000</w:t>
            </w:r>
          </w:p>
          <w:p>
            <w:pPr>
              <w:spacing w:before="0" w:after="16" w:line="259" w:lineRule="auto"/>
              <w:ind w:left="0" w:right="6" w:firstLine="0"/>
              <w:jc w:val="right"/>
            </w:pPr>
            <w:r>
              <w:rPr>
                <w:rFonts w:cs="Calibri" w:hAnsi="Calibri" w:eastAsia="Calibri" w:ascii="Calibri"/>
                <w:sz w:val="12"/>
              </w:rPr>
              <w:t xml:space="preserve">$50,000</w:t>
            </w:r>
          </w:p>
          <w:p>
            <w:pPr>
              <w:spacing w:before="0" w:after="10" w:line="287" w:lineRule="auto"/>
              <w:ind w:left="427" w:right="0" w:firstLine="58"/>
              <w:jc w:val="left"/>
            </w:pPr>
            <w:r>
              <w:rPr>
                <w:rFonts w:cs="Calibri" w:hAnsi="Calibri" w:eastAsia="Calibri" w:ascii="Calibri"/>
                <w:sz w:val="12"/>
              </w:rPr>
              <w:t xml:space="preserve">$70,000 $306,817</w:t>
            </w:r>
          </w:p>
          <w:p>
            <w:pPr>
              <w:spacing w:before="0" w:after="0" w:line="259" w:lineRule="auto"/>
              <w:ind w:left="0" w:right="6" w:firstLine="0"/>
              <w:jc w:val="right"/>
            </w:pPr>
            <w:r>
              <w:rPr>
                <w:rFonts w:cs="Calibri" w:hAnsi="Calibri" w:eastAsia="Calibri" w:ascii="Calibri"/>
                <w:b w:val="1"/>
                <w:sz w:val="12"/>
              </w:rPr>
              <w:t xml:space="preserve">$506,817</w:t>
            </w:r>
          </w:p>
        </w:tc>
        <w:tc>
          <w:tcPr>
            <w:tcW w:w="991"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$80,000</w:t>
            </w:r>
          </w:p>
          <w:p>
            <w:pPr>
              <w:spacing w:before="0" w:after="16" w:line="259" w:lineRule="auto"/>
              <w:ind w:left="0" w:right="6" w:firstLine="0"/>
              <w:jc w:val="right"/>
            </w:pPr>
            <w:r>
              <w:rPr>
                <w:rFonts w:cs="Calibri" w:hAnsi="Calibri" w:eastAsia="Calibri" w:ascii="Calibri"/>
                <w:sz w:val="12"/>
              </w:rPr>
              <w:t xml:space="preserve">$50,000</w:t>
            </w:r>
          </w:p>
          <w:p>
            <w:pPr>
              <w:spacing w:before="0" w:after="10" w:line="287" w:lineRule="auto"/>
              <w:ind w:left="511" w:right="0" w:firstLine="58"/>
              <w:jc w:val="left"/>
            </w:pPr>
            <w:r>
              <w:rPr>
                <w:rFonts w:cs="Calibri" w:hAnsi="Calibri" w:eastAsia="Calibri" w:ascii="Calibri"/>
                <w:sz w:val="12"/>
              </w:rPr>
              <w:t xml:space="preserve">$70,000 $306,817</w:t>
            </w:r>
          </w:p>
          <w:p>
            <w:pPr>
              <w:spacing w:before="0" w:after="0" w:line="259" w:lineRule="auto"/>
              <w:ind w:left="0" w:right="6" w:firstLine="0"/>
              <w:jc w:val="right"/>
            </w:pPr>
            <w:r>
              <w:rPr>
                <w:rFonts w:cs="Calibri" w:hAnsi="Calibri" w:eastAsia="Calibri" w:ascii="Calibri"/>
                <w:b w:val="1"/>
                <w:sz w:val="12"/>
              </w:rPr>
              <w:t xml:space="preserve">$506,817</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$890,253</w:t>
            </w:r>
          </w:p>
          <w:p>
            <w:pPr>
              <w:spacing w:before="0" w:after="16" w:line="259" w:lineRule="auto"/>
              <w:ind w:left="0" w:right="6" w:firstLine="0"/>
              <w:jc w:val="right"/>
            </w:pPr>
            <w:r>
              <w:rPr>
                <w:rFonts w:cs="Calibri" w:hAnsi="Calibri" w:eastAsia="Calibri" w:ascii="Calibri"/>
                <w:sz w:val="12"/>
              </w:rPr>
              <w:t xml:space="preserve">$220,148</w:t>
            </w:r>
          </w:p>
          <w:p>
            <w:pPr>
              <w:spacing w:before="0" w:after="16" w:line="259" w:lineRule="auto"/>
              <w:ind w:left="0" w:right="6" w:firstLine="0"/>
              <w:jc w:val="right"/>
            </w:pPr>
            <w:r>
              <w:rPr>
                <w:rFonts w:cs="Calibri" w:hAnsi="Calibri" w:eastAsia="Calibri" w:ascii="Calibri"/>
                <w:sz w:val="12"/>
              </w:rPr>
              <w:t xml:space="preserve">$140,000</w:t>
            </w:r>
          </w:p>
          <w:p>
            <w:pPr>
              <w:spacing w:before="0" w:after="0" w:line="259" w:lineRule="auto"/>
              <w:ind w:left="0" w:right="6" w:firstLine="0"/>
              <w:jc w:val="right"/>
            </w:pPr>
            <w:r>
              <w:rPr>
                <w:rFonts w:cs="Calibri" w:hAnsi="Calibri" w:eastAsia="Calibri" w:ascii="Calibri"/>
                <w:sz w:val="12"/>
              </w:rPr>
              <w:t xml:space="preserve">$741,302 </w:t>
            </w:r>
            <w:r>
              <w:rPr>
                <w:rFonts w:cs="Calibri" w:hAnsi="Calibri" w:eastAsia="Calibri" w:ascii="Calibri"/>
                <w:b w:val="1"/>
                <w:sz w:val="12"/>
              </w:rPr>
              <w:t xml:space="preserve">$1,991,703</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€ 551,341</w:t>
            </w:r>
          </w:p>
          <w:p>
            <w:pPr>
              <w:spacing w:before="0" w:after="16" w:line="259" w:lineRule="auto"/>
              <w:ind w:left="0" w:right="6" w:firstLine="0"/>
              <w:jc w:val="right"/>
            </w:pPr>
            <w:r>
              <w:rPr>
                <w:rFonts w:cs="Calibri" w:hAnsi="Calibri" w:eastAsia="Calibri" w:ascii="Calibri"/>
                <w:sz w:val="12"/>
              </w:rPr>
              <w:t xml:space="preserve">€ 90,712</w:t>
            </w:r>
          </w:p>
          <w:p>
            <w:pPr>
              <w:spacing w:before="0" w:after="16" w:line="259" w:lineRule="auto"/>
              <w:ind w:left="0" w:right="6" w:firstLine="0"/>
              <w:jc w:val="right"/>
            </w:pPr>
            <w:r>
              <w:rPr>
                <w:rFonts w:cs="Calibri" w:hAnsi="Calibri" w:eastAsia="Calibri" w:ascii="Calibri"/>
                <w:sz w:val="12"/>
              </w:rPr>
              <w:t xml:space="preserve">€ 0</w:t>
            </w:r>
          </w:p>
          <w:p>
            <w:pPr>
              <w:spacing w:before="0" w:after="0" w:line="259" w:lineRule="auto"/>
              <w:ind w:left="372" w:right="0" w:firstLine="58"/>
              <w:jc w:val="left"/>
            </w:pPr>
            <w:r>
              <w:rPr>
                <w:rFonts w:cs="Calibri" w:hAnsi="Calibri" w:eastAsia="Calibri" w:ascii="Calibri"/>
                <w:sz w:val="12"/>
              </w:rPr>
              <w:t xml:space="preserve">€ 96,389 </w:t>
            </w:r>
            <w:r>
              <w:rPr>
                <w:rFonts w:cs="Calibri" w:hAnsi="Calibri" w:eastAsia="Calibri" w:ascii="Calibri"/>
                <w:b w:val="1"/>
                <w:sz w:val="12"/>
              </w:rPr>
              <w:t xml:space="preserve">€ 738,442</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€ 60,400</w:t>
            </w:r>
          </w:p>
          <w:p>
            <w:pPr>
              <w:spacing w:before="0" w:after="16" w:line="259" w:lineRule="auto"/>
              <w:ind w:left="0" w:right="6" w:firstLine="0"/>
              <w:jc w:val="right"/>
            </w:pPr>
            <w:r>
              <w:rPr>
                <w:rFonts w:cs="Calibri" w:hAnsi="Calibri" w:eastAsia="Calibri" w:ascii="Calibri"/>
                <w:sz w:val="12"/>
              </w:rPr>
              <w:t xml:space="preserve">€ 37,750</w:t>
            </w:r>
          </w:p>
          <w:p>
            <w:pPr>
              <w:spacing w:before="0" w:after="10" w:line="287" w:lineRule="auto"/>
              <w:ind w:left="382" w:right="0" w:firstLine="58"/>
              <w:jc w:val="left"/>
            </w:pPr>
            <w:r>
              <w:rPr>
                <w:rFonts w:cs="Calibri" w:hAnsi="Calibri" w:eastAsia="Calibri" w:ascii="Calibri"/>
                <w:sz w:val="12"/>
              </w:rPr>
              <w:t xml:space="preserve">€ 52,850 € 231,647</w:t>
            </w:r>
          </w:p>
          <w:p>
            <w:pPr>
              <w:spacing w:before="0" w:after="0" w:line="259" w:lineRule="auto"/>
              <w:ind w:left="0" w:right="6" w:firstLine="0"/>
              <w:jc w:val="right"/>
            </w:pPr>
            <w:r>
              <w:rPr>
                <w:rFonts w:cs="Calibri" w:hAnsi="Calibri" w:eastAsia="Calibri" w:ascii="Calibri"/>
                <w:b w:val="1"/>
                <w:sz w:val="12"/>
              </w:rPr>
              <w:t xml:space="preserve">€ 382,647</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€ 60,400</w:t>
            </w:r>
          </w:p>
          <w:p>
            <w:pPr>
              <w:spacing w:before="0" w:after="16" w:line="259" w:lineRule="auto"/>
              <w:ind w:left="0" w:right="6" w:firstLine="0"/>
              <w:jc w:val="right"/>
            </w:pPr>
            <w:r>
              <w:rPr>
                <w:rFonts w:cs="Calibri" w:hAnsi="Calibri" w:eastAsia="Calibri" w:ascii="Calibri"/>
                <w:sz w:val="12"/>
              </w:rPr>
              <w:t xml:space="preserve">€ 37,750</w:t>
            </w:r>
          </w:p>
          <w:p>
            <w:pPr>
              <w:spacing w:before="0" w:after="10" w:line="287" w:lineRule="auto"/>
              <w:ind w:left="420" w:right="0" w:firstLine="58"/>
              <w:jc w:val="left"/>
            </w:pPr>
            <w:r>
              <w:rPr>
                <w:rFonts w:cs="Calibri" w:hAnsi="Calibri" w:eastAsia="Calibri" w:ascii="Calibri"/>
                <w:sz w:val="12"/>
              </w:rPr>
              <w:t xml:space="preserve">€ 52,850 € 231,647</w:t>
            </w:r>
          </w:p>
          <w:p>
            <w:pPr>
              <w:spacing w:before="0" w:after="0" w:line="259" w:lineRule="auto"/>
              <w:ind w:left="0" w:right="6" w:firstLine="0"/>
              <w:jc w:val="right"/>
            </w:pPr>
            <w:r>
              <w:rPr>
                <w:rFonts w:cs="Calibri" w:hAnsi="Calibri" w:eastAsia="Calibri" w:ascii="Calibri"/>
                <w:b w:val="1"/>
                <w:sz w:val="12"/>
              </w:rPr>
              <w:t xml:space="preserve">€ 382,647</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€ 672,141</w:t>
            </w:r>
          </w:p>
          <w:p>
            <w:pPr>
              <w:spacing w:before="0" w:after="16" w:line="259" w:lineRule="auto"/>
              <w:ind w:left="0" w:right="6" w:firstLine="0"/>
              <w:jc w:val="right"/>
            </w:pPr>
            <w:r>
              <w:rPr>
                <w:rFonts w:cs="Calibri" w:hAnsi="Calibri" w:eastAsia="Calibri" w:ascii="Calibri"/>
                <w:sz w:val="12"/>
              </w:rPr>
              <w:t xml:space="preserve">€ 166,212</w:t>
            </w:r>
          </w:p>
          <w:p>
            <w:pPr>
              <w:spacing w:before="0" w:after="16" w:line="259" w:lineRule="auto"/>
              <w:ind w:left="0" w:right="6" w:firstLine="0"/>
              <w:jc w:val="right"/>
            </w:pPr>
            <w:r>
              <w:rPr>
                <w:rFonts w:cs="Calibri" w:hAnsi="Calibri" w:eastAsia="Calibri" w:ascii="Calibri"/>
                <w:sz w:val="12"/>
              </w:rPr>
              <w:t xml:space="preserve">€ 105,700</w:t>
            </w:r>
          </w:p>
          <w:p>
            <w:pPr>
              <w:spacing w:before="0" w:after="0" w:line="259" w:lineRule="auto"/>
              <w:ind w:left="295" w:right="6" w:firstLine="0"/>
              <w:jc w:val="right"/>
            </w:pPr>
            <w:r>
              <w:rPr>
                <w:rFonts w:cs="Calibri" w:hAnsi="Calibri" w:eastAsia="Calibri" w:ascii="Calibri"/>
                <w:sz w:val="12"/>
              </w:rPr>
              <w:t xml:space="preserve">€ 559,683 </w:t>
            </w:r>
            <w:r>
              <w:rPr>
                <w:rFonts w:cs="Calibri" w:hAnsi="Calibri" w:eastAsia="Calibri" w:ascii="Calibri"/>
                <w:b w:val="1"/>
                <w:sz w:val="12"/>
              </w:rPr>
              <w:t xml:space="preserve">€ 1,503,736</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0" w:right="0" w:firstLine="0"/>
              <w:jc w:val="left"/>
            </w:pPr>
            <w:r>
              <w:rPr>
                <w:rFonts w:cs="Calibri" w:hAnsi="Calibri" w:eastAsia="Calibri" w:ascii="Calibri"/>
                <w:sz w:val="12"/>
              </w:rPr>
              <w:t xml:space="preserve">11%</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36" w:right="0" w:firstLine="0"/>
              <w:jc w:val="left"/>
            </w:pPr>
            <w:r>
              <w:rPr>
                <w:rFonts w:cs="Calibri" w:hAnsi="Calibri" w:eastAsia="Calibri" w:ascii="Calibri"/>
                <w:b w:val="1"/>
                <w:sz w:val="12"/>
              </w:rPr>
              <w:t xml:space="preserve">Output 3:  EMBs capacity improved to conduct credible electoral processes</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344" w:hRule="atLeast"/>
        </w:trPr>
        <w:tc>
          <w:tcPr>
            <w:tcW w:w="6422" w:type="dxa"/>
            <w:vMerge w:val="restart"/>
            <w:tcBorders>
              <w:top w:val="nil"/>
              <w:left w:val="single" w:sz="9" w:color="000000"/>
              <w:bottom w:val="nil"/>
              <w:right w:val="single" w:sz="9" w:color="000000"/>
            </w:tcBorders>
            <w:vAlign w:val="top"/>
          </w:tcPr>
          <w:p>
            <w:pPr>
              <w:tabs>
                <w:tab w:val="center" w:pos="470"/>
                <w:tab w:val="center" w:pos="2266"/>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2.3.1.	</w:t>
            </w:r>
            <w:r>
              <w:rPr>
                <w:rFonts w:cs="Calibri" w:hAnsi="Calibri" w:eastAsia="Calibri" w:ascii="Calibri"/>
                <w:sz w:val="12"/>
              </w:rPr>
              <w:t xml:space="preserve">Support voter registration and de-duplication of the voter register </w:t>
            </w:r>
          </w:p>
          <w:p>
            <w:pPr>
              <w:tabs>
                <w:tab w:val="center" w:pos="470"/>
                <w:tab w:val="center" w:pos="1810"/>
              </w:tabs>
              <w:spacing w:before="0" w:after="26"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2.3.2.	</w:t>
            </w:r>
            <w:r>
              <w:rPr>
                <w:rFonts w:cs="Calibri" w:hAnsi="Calibri" w:eastAsia="Calibri" w:ascii="Calibri"/>
                <w:sz w:val="12"/>
              </w:rPr>
              <w:t xml:space="preserve">Facilitate conduct of 2014 referendum -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$125,232</w:t>
            </w:r>
          </w:p>
          <w:p>
            <w:pPr>
              <w:spacing w:before="0" w:after="26" w:line="259" w:lineRule="auto"/>
              <w:ind w:left="0" w:right="6" w:firstLine="0"/>
              <w:jc w:val="right"/>
            </w:pPr>
            <w:r>
              <w:rPr>
                <w:rFonts w:cs="Calibri" w:hAnsi="Calibri" w:eastAsia="Calibri" w:ascii="Calibri"/>
                <w:sz w:val="12"/>
              </w:rPr>
              <w:t xml:space="preserve">$265,128</w:t>
            </w:r>
          </w:p>
          <w:p>
            <w:pPr>
              <w:spacing w:before="0" w:after="0" w:line="259" w:lineRule="auto"/>
              <w:ind w:left="0" w:right="5" w:firstLine="0"/>
              <w:jc w:val="right"/>
            </w:pPr>
            <w:r>
              <w:rPr>
                <w:rFonts w:cs="Calibri" w:hAnsi="Calibri" w:eastAsia="Calibri" w:ascii="Calibri"/>
                <w:b w:val="1"/>
                <w:sz w:val="12"/>
              </w:rPr>
              <w:t xml:space="preserve">$390,360</w:t>
            </w:r>
          </w:p>
        </w:tc>
        <w:tc>
          <w:tcPr>
            <w:tcW w:w="907"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$70,000</w:t>
            </w:r>
          </w:p>
          <w:p>
            <w:pPr>
              <w:spacing w:before="0" w:after="26" w:line="259" w:lineRule="auto"/>
              <w:ind w:left="0" w:right="6" w:firstLine="0"/>
              <w:jc w:val="right"/>
            </w:pPr>
            <w:r>
              <w:rPr>
                <w:rFonts w:cs="Calibri" w:hAnsi="Calibri" w:eastAsia="Calibri" w:ascii="Calibri"/>
                <w:sz w:val="12"/>
              </w:rPr>
              <w:t xml:space="preserve">$609,208</w:t>
            </w:r>
          </w:p>
          <w:p>
            <w:pPr>
              <w:spacing w:before="0" w:after="0" w:line="259" w:lineRule="auto"/>
              <w:ind w:left="0" w:right="5" w:firstLine="0"/>
              <w:jc w:val="right"/>
            </w:pPr>
            <w:r>
              <w:rPr>
                <w:rFonts w:cs="Calibri" w:hAnsi="Calibri" w:eastAsia="Calibri" w:ascii="Calibri"/>
                <w:b w:val="1"/>
                <w:sz w:val="12"/>
              </w:rPr>
              <w:t xml:space="preserve">$679,208</w:t>
            </w:r>
          </w:p>
        </w:tc>
        <w:tc>
          <w:tcPr>
            <w:tcW w:w="991"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$0</w:t>
            </w:r>
          </w:p>
          <w:p>
            <w:pPr>
              <w:spacing w:before="0" w:after="26" w:line="259" w:lineRule="auto"/>
              <w:ind w:left="0" w:right="6" w:firstLine="0"/>
              <w:jc w:val="right"/>
            </w:pPr>
            <w:r>
              <w:rPr>
                <w:rFonts w:cs="Calibri" w:hAnsi="Calibri" w:eastAsia="Calibri" w:ascii="Calibri"/>
                <w:sz w:val="12"/>
              </w:rPr>
              <w:t xml:space="preserve">$609,208</w:t>
            </w:r>
          </w:p>
          <w:p>
            <w:pPr>
              <w:spacing w:before="0" w:after="0" w:line="259" w:lineRule="auto"/>
              <w:ind w:left="0" w:right="5" w:firstLine="0"/>
              <w:jc w:val="right"/>
            </w:pPr>
            <w:r>
              <w:rPr>
                <w:rFonts w:cs="Calibri" w:hAnsi="Calibri" w:eastAsia="Calibri" w:ascii="Calibri"/>
                <w:b w:val="1"/>
                <w:sz w:val="12"/>
              </w:rPr>
              <w:t xml:space="preserve">$609,208</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$195,232</w:t>
            </w:r>
          </w:p>
          <w:p>
            <w:pPr>
              <w:spacing w:before="0" w:after="26" w:line="259" w:lineRule="auto"/>
              <w:ind w:left="0" w:right="6" w:firstLine="0"/>
              <w:jc w:val="right"/>
            </w:pPr>
            <w:r>
              <w:rPr>
                <w:rFonts w:cs="Calibri" w:hAnsi="Calibri" w:eastAsia="Calibri" w:ascii="Calibri"/>
                <w:sz w:val="12"/>
              </w:rPr>
              <w:t xml:space="preserve">$1,483,545</w:t>
            </w:r>
          </w:p>
          <w:p>
            <w:pPr>
              <w:spacing w:before="0" w:after="0" w:line="259" w:lineRule="auto"/>
              <w:ind w:left="0" w:right="5" w:firstLine="0"/>
              <w:jc w:val="right"/>
            </w:pPr>
            <w:r>
              <w:rPr>
                <w:rFonts w:cs="Calibri" w:hAnsi="Calibri" w:eastAsia="Calibri" w:ascii="Calibri"/>
                <w:b w:val="1"/>
                <w:sz w:val="12"/>
              </w:rPr>
              <w:t xml:space="preserve">$1,678,777</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6" w:firstLine="0"/>
              <w:jc w:val="right"/>
            </w:pPr>
            <w:r>
              <w:rPr>
                <w:rFonts w:cs="Calibri" w:hAnsi="Calibri" w:eastAsia="Calibri" w:ascii="Calibri"/>
                <w:sz w:val="12"/>
              </w:rPr>
              <w:t xml:space="preserve">€ 94,550</w:t>
            </w:r>
          </w:p>
          <w:p>
            <w:pPr>
              <w:spacing w:before="0" w:after="26" w:line="259" w:lineRule="auto"/>
              <w:ind w:left="0" w:right="6" w:firstLine="0"/>
              <w:jc w:val="right"/>
            </w:pPr>
            <w:r>
              <w:rPr>
                <w:rFonts w:cs="Calibri" w:hAnsi="Calibri" w:eastAsia="Calibri" w:ascii="Calibri"/>
                <w:sz w:val="12"/>
              </w:rPr>
              <w:t xml:space="preserve">€ 200,172</w:t>
            </w:r>
          </w:p>
          <w:p>
            <w:pPr>
              <w:spacing w:before="0" w:after="0" w:line="259" w:lineRule="auto"/>
              <w:ind w:left="0" w:right="5" w:firstLine="0"/>
              <w:jc w:val="right"/>
            </w:pPr>
            <w:r>
              <w:rPr>
                <w:rFonts w:cs="Calibri" w:hAnsi="Calibri" w:eastAsia="Calibri" w:ascii="Calibri"/>
                <w:b w:val="1"/>
                <w:sz w:val="12"/>
              </w:rPr>
              <w:t xml:space="preserve">€ 294,722</w:t>
            </w:r>
          </w:p>
        </w:tc>
        <w:tc>
          <w:tcPr>
            <w:tcW w:w="888" w:type="dxa"/>
            <w:vMerge w:val="restart"/>
            <w:tcBorders>
              <w:top w:val="nil"/>
              <w:left w:val="single" w:sz="9" w:color="000000"/>
              <w:bottom w:val="nil"/>
              <w:right w:val="single" w:sz="9" w:color="000000"/>
            </w:tcBorders>
            <w:vAlign w:val="top"/>
          </w:tcPr>
          <w:p>
            <w:pPr>
              <w:spacing w:before="0" w:after="9" w:line="287" w:lineRule="auto"/>
              <w:ind w:left="383" w:right="0" w:firstLine="56"/>
              <w:jc w:val="left"/>
            </w:pPr>
            <w:r>
              <w:rPr>
                <w:rFonts w:cs="Calibri" w:hAnsi="Calibri" w:eastAsia="Calibri" w:ascii="Calibri"/>
                <w:sz w:val="12"/>
              </w:rPr>
              <w:t xml:space="preserve">€ 52,850 € 459,952</w:t>
            </w:r>
          </w:p>
          <w:p>
            <w:pPr>
              <w:spacing w:before="0" w:after="0" w:line="259" w:lineRule="auto"/>
              <w:ind w:left="0" w:right="5" w:firstLine="0"/>
              <w:jc w:val="right"/>
            </w:pPr>
            <w:r>
              <w:rPr>
                <w:rFonts w:cs="Calibri" w:hAnsi="Calibri" w:eastAsia="Calibri" w:ascii="Calibri"/>
                <w:b w:val="1"/>
                <w:sz w:val="12"/>
              </w:rPr>
              <w:t xml:space="preserve">€ 512,802</w:t>
            </w:r>
          </w:p>
        </w:tc>
        <w:tc>
          <w:tcPr>
            <w:tcW w:w="926" w:type="dxa"/>
            <w:vMerge w:val="restart"/>
            <w:tcBorders>
              <w:top w:val="nil"/>
              <w:left w:val="single" w:sz="9" w:color="000000"/>
              <w:bottom w:val="nil"/>
              <w:right w:val="single" w:sz="9" w:color="000000"/>
            </w:tcBorders>
            <w:vAlign w:val="top"/>
          </w:tcPr>
          <w:p>
            <w:pPr>
              <w:spacing w:before="0" w:after="9" w:line="287" w:lineRule="auto"/>
              <w:ind w:left="421" w:right="5" w:firstLine="0"/>
              <w:jc w:val="right"/>
            </w:pPr>
            <w:r>
              <w:rPr>
                <w:rFonts w:cs="Calibri" w:hAnsi="Calibri" w:eastAsia="Calibri" w:ascii="Calibri"/>
                <w:sz w:val="12"/>
              </w:rPr>
              <w:t xml:space="preserve">€ 0 € 459,952</w:t>
            </w:r>
          </w:p>
          <w:p>
            <w:pPr>
              <w:spacing w:before="0" w:after="0" w:line="259" w:lineRule="auto"/>
              <w:ind w:left="0" w:right="5" w:firstLine="0"/>
              <w:jc w:val="right"/>
            </w:pPr>
            <w:r>
              <w:rPr>
                <w:rFonts w:cs="Calibri" w:hAnsi="Calibri" w:eastAsia="Calibri" w:ascii="Calibri"/>
                <w:b w:val="1"/>
                <w:sz w:val="12"/>
              </w:rPr>
              <w:t xml:space="preserve">€ 459,952</w:t>
            </w:r>
          </w:p>
        </w:tc>
        <w:tc>
          <w:tcPr>
            <w:tcW w:w="888" w:type="dxa"/>
            <w:vMerge w:val="restart"/>
            <w:tcBorders>
              <w:top w:val="nil"/>
              <w:left w:val="single" w:sz="9" w:color="000000"/>
              <w:bottom w:val="nil"/>
              <w:right w:val="single" w:sz="9" w:color="000000"/>
            </w:tcBorders>
            <w:vAlign w:val="top"/>
          </w:tcPr>
          <w:p>
            <w:pPr>
              <w:spacing w:before="0" w:after="9" w:line="287" w:lineRule="auto"/>
              <w:ind w:left="296" w:right="5" w:firstLine="0"/>
              <w:jc w:val="right"/>
            </w:pPr>
            <w:r>
              <w:rPr>
                <w:rFonts w:cs="Calibri" w:hAnsi="Calibri" w:eastAsia="Calibri" w:ascii="Calibri"/>
                <w:sz w:val="12"/>
              </w:rPr>
              <w:t xml:space="preserve">€ 147,400 € 1,120,076</w:t>
            </w:r>
          </w:p>
          <w:p>
            <w:pPr>
              <w:spacing w:before="0" w:after="0" w:line="259" w:lineRule="auto"/>
              <w:ind w:left="0" w:right="5" w:firstLine="0"/>
              <w:jc w:val="right"/>
            </w:pPr>
            <w:r>
              <w:rPr>
                <w:rFonts w:cs="Calibri" w:hAnsi="Calibri" w:eastAsia="Calibri" w:ascii="Calibri"/>
                <w:b w:val="1"/>
                <w:sz w:val="12"/>
              </w:rPr>
              <w:t xml:space="preserve">€ 1,267,477</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9%</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37" w:right="0" w:firstLine="0"/>
              <w:jc w:val="left"/>
            </w:pPr>
            <w:r>
              <w:rPr>
                <w:rFonts w:cs="Calibri" w:hAnsi="Calibri" w:eastAsia="Calibri" w:ascii="Calibri"/>
                <w:b w:val="1"/>
                <w:sz w:val="12"/>
              </w:rPr>
              <w:t xml:space="preserve">Output 4: EMBs staff professional development enhanced.</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bottom"/>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680" w:hRule="atLeast"/>
        </w:trPr>
        <w:tc>
          <w:tcPr>
            <w:tcW w:w="6422" w:type="dxa"/>
            <w:vMerge w:val="restart"/>
            <w:tcBorders>
              <w:top w:val="nil"/>
              <w:left w:val="single" w:sz="9" w:color="000000"/>
              <w:bottom w:val="nil"/>
              <w:right w:val="single" w:sz="9" w:color="000000"/>
            </w:tcBorders>
            <w:vAlign w:val="top"/>
          </w:tcPr>
          <w:p>
            <w:pPr>
              <w:tabs>
                <w:tab w:val="center" w:pos="470"/>
                <w:tab w:val="center" w:pos="2065"/>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2.4.1.	</w:t>
            </w:r>
            <w:r>
              <w:rPr>
                <w:rFonts w:cs="Calibri" w:hAnsi="Calibri" w:eastAsia="Calibri" w:ascii="Calibri"/>
                <w:sz w:val="12"/>
              </w:rPr>
              <w:t xml:space="preserve">Develop EMBs capacity for cascade training using BRIDGE</w:t>
            </w:r>
          </w:p>
          <w:p>
            <w:pPr>
              <w:tabs>
                <w:tab w:val="center" w:pos="470"/>
                <w:tab w:val="center" w:pos="2209"/>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2.4.2.	</w:t>
            </w:r>
            <w:r>
              <w:rPr>
                <w:rFonts w:cs="Calibri" w:hAnsi="Calibri" w:eastAsia="Calibri" w:ascii="Calibri"/>
                <w:sz w:val="12"/>
              </w:rPr>
              <w:t xml:space="preserve">Train a critical mass of EMBs officials on election administration </w:t>
            </w:r>
          </w:p>
          <w:p>
            <w:pPr>
              <w:spacing w:before="0" w:after="2" w:line="300" w:lineRule="auto"/>
              <w:ind w:left="340" w:right="1669" w:firstLine="0"/>
              <w:jc w:val="left"/>
            </w:pPr>
            <w:r>
              <w:rPr>
                <w:rFonts w:cs="Calibri" w:hAnsi="Calibri" w:eastAsia="Calibri" w:ascii="Calibri"/>
                <w:sz w:val="12"/>
              </w:rPr>
              <w:t xml:space="preserve">2.4.3.	</w:t>
            </w:r>
            <w:r>
              <w:rPr>
                <w:rFonts w:cs="Calibri" w:hAnsi="Calibri" w:eastAsia="Calibri" w:ascii="Calibri"/>
                <w:sz w:val="12"/>
              </w:rPr>
              <w:t xml:space="preserve">Support study missions and staff exchanges between the two EMBs and beyond </w:t>
            </w:r>
            <w:r>
              <w:rPr>
                <w:rFonts w:cs="Calibri" w:hAnsi="Calibri" w:eastAsia="Calibri" w:ascii="Calibri"/>
                <w:sz w:val="12"/>
              </w:rPr>
              <w:t xml:space="preserve">2.4.4.	</w:t>
            </w:r>
            <w:r>
              <w:rPr>
                <w:rFonts w:cs="Calibri" w:hAnsi="Calibri" w:eastAsia="Calibri" w:ascii="Calibri"/>
                <w:sz w:val="12"/>
              </w:rPr>
              <w:t xml:space="preserve">Long-Term Technical Assistance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$72,210</w:t>
            </w:r>
          </w:p>
          <w:p>
            <w:pPr>
              <w:spacing w:before="0" w:after="16" w:line="259" w:lineRule="auto"/>
              <w:ind w:left="0" w:right="5" w:firstLine="0"/>
              <w:jc w:val="right"/>
            </w:pPr>
            <w:r>
              <w:rPr>
                <w:rFonts w:cs="Calibri" w:hAnsi="Calibri" w:eastAsia="Calibri" w:ascii="Calibri"/>
                <w:sz w:val="12"/>
              </w:rPr>
              <w:t xml:space="preserve">$54,936</w:t>
            </w:r>
          </w:p>
          <w:p>
            <w:pPr>
              <w:spacing w:before="0" w:after="16" w:line="259" w:lineRule="auto"/>
              <w:ind w:left="0" w:right="5" w:firstLine="0"/>
              <w:jc w:val="right"/>
            </w:pPr>
            <w:r>
              <w:rPr>
                <w:rFonts w:cs="Calibri" w:hAnsi="Calibri" w:eastAsia="Calibri" w:ascii="Calibri"/>
                <w:sz w:val="12"/>
              </w:rPr>
              <w:t xml:space="preserve">$70,000</w:t>
            </w:r>
          </w:p>
          <w:p>
            <w:pPr>
              <w:spacing w:before="0" w:after="0" w:line="259" w:lineRule="auto"/>
              <w:ind w:left="72" w:right="5" w:firstLine="0"/>
              <w:jc w:val="right"/>
            </w:pPr>
            <w:r>
              <w:rPr>
                <w:rFonts w:cs="Calibri" w:hAnsi="Calibri" w:eastAsia="Calibri" w:ascii="Calibri"/>
                <w:sz w:val="12"/>
              </w:rPr>
              <w:t xml:space="preserve">$7,907 </w:t>
            </w:r>
            <w:r>
              <w:rPr>
                <w:rFonts w:cs="Calibri" w:hAnsi="Calibri" w:eastAsia="Calibri" w:ascii="Calibri"/>
                <w:b w:val="1"/>
                <w:sz w:val="12"/>
              </w:rPr>
              <w:t xml:space="preserve">$205,053</w:t>
            </w:r>
          </w:p>
        </w:tc>
        <w:tc>
          <w:tcPr>
            <w:tcW w:w="907"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$50,000</w:t>
            </w:r>
          </w:p>
          <w:p>
            <w:pPr>
              <w:spacing w:before="0" w:after="0" w:line="287" w:lineRule="auto"/>
              <w:ind w:left="0" w:right="5" w:firstLine="0"/>
              <w:jc w:val="right"/>
            </w:pPr>
            <w:r>
              <w:rPr>
                <w:rFonts w:cs="Calibri" w:hAnsi="Calibri" w:eastAsia="Calibri" w:ascii="Calibri"/>
                <w:sz w:val="12"/>
              </w:rPr>
              <w:t xml:space="preserve">$1,000,000 $40,000</w:t>
            </w:r>
          </w:p>
          <w:p>
            <w:pPr>
              <w:spacing w:before="0" w:after="0" w:line="259" w:lineRule="auto"/>
              <w:ind w:left="0" w:right="5" w:firstLine="0"/>
              <w:jc w:val="right"/>
            </w:pPr>
            <w:r>
              <w:rPr>
                <w:rFonts w:cs="Calibri" w:hAnsi="Calibri" w:eastAsia="Calibri" w:ascii="Calibri"/>
                <w:sz w:val="12"/>
              </w:rPr>
              <w:t xml:space="preserve">$13,555 </w:t>
            </w:r>
            <w:r>
              <w:rPr>
                <w:rFonts w:cs="Calibri" w:hAnsi="Calibri" w:eastAsia="Calibri" w:ascii="Calibri"/>
                <w:b w:val="1"/>
                <w:sz w:val="12"/>
              </w:rPr>
              <w:t xml:space="preserve">$1,103,555</w:t>
            </w:r>
          </w:p>
        </w:tc>
        <w:tc>
          <w:tcPr>
            <w:tcW w:w="991"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$0</w:t>
            </w:r>
          </w:p>
          <w:p>
            <w:pPr>
              <w:spacing w:before="0" w:after="0" w:line="287" w:lineRule="auto"/>
              <w:ind w:left="569" w:right="0" w:hanging="57"/>
              <w:jc w:val="left"/>
            </w:pPr>
            <w:r>
              <w:rPr>
                <w:rFonts w:cs="Calibri" w:hAnsi="Calibri" w:eastAsia="Calibri" w:ascii="Calibri"/>
                <w:sz w:val="12"/>
              </w:rPr>
              <w:t xml:space="preserve">$850,000 $40,000</w:t>
            </w:r>
          </w:p>
          <w:p>
            <w:pPr>
              <w:spacing w:before="0" w:after="0" w:line="259" w:lineRule="auto"/>
              <w:ind w:left="512" w:right="0" w:firstLine="58"/>
              <w:jc w:val="left"/>
            </w:pPr>
            <w:r>
              <w:rPr>
                <w:rFonts w:cs="Calibri" w:hAnsi="Calibri" w:eastAsia="Calibri" w:ascii="Calibri"/>
                <w:sz w:val="12"/>
              </w:rPr>
              <w:t xml:space="preserve">$13,555 </w:t>
            </w:r>
            <w:r>
              <w:rPr>
                <w:rFonts w:cs="Calibri" w:hAnsi="Calibri" w:eastAsia="Calibri" w:ascii="Calibri"/>
                <w:b w:val="1"/>
                <w:sz w:val="12"/>
              </w:rPr>
              <w:t xml:space="preserve">$903,555</w:t>
            </w:r>
          </w:p>
        </w:tc>
        <w:tc>
          <w:tcPr>
            <w:tcW w:w="859"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$122,210</w:t>
            </w:r>
          </w:p>
          <w:p>
            <w:pPr>
              <w:spacing w:before="0" w:after="16" w:line="259" w:lineRule="auto"/>
              <w:ind w:left="0" w:right="5" w:firstLine="0"/>
              <w:jc w:val="right"/>
            </w:pPr>
            <w:r>
              <w:rPr>
                <w:rFonts w:cs="Calibri" w:hAnsi="Calibri" w:eastAsia="Calibri" w:ascii="Calibri"/>
                <w:sz w:val="12"/>
              </w:rPr>
              <w:t xml:space="preserve">$1,904,936</w:t>
            </w:r>
          </w:p>
          <w:p>
            <w:pPr>
              <w:spacing w:before="0" w:after="16" w:line="259" w:lineRule="auto"/>
              <w:ind w:left="0" w:right="5" w:firstLine="0"/>
              <w:jc w:val="right"/>
            </w:pPr>
            <w:r>
              <w:rPr>
                <w:rFonts w:cs="Calibri" w:hAnsi="Calibri" w:eastAsia="Calibri" w:ascii="Calibri"/>
                <w:sz w:val="12"/>
              </w:rPr>
              <w:t xml:space="preserve">$150,000</w:t>
            </w:r>
          </w:p>
          <w:p>
            <w:pPr>
              <w:spacing w:before="0" w:after="0" w:line="259" w:lineRule="auto"/>
              <w:ind w:left="0" w:right="5" w:firstLine="0"/>
              <w:jc w:val="right"/>
            </w:pPr>
            <w:r>
              <w:rPr>
                <w:rFonts w:cs="Calibri" w:hAnsi="Calibri" w:eastAsia="Calibri" w:ascii="Calibri"/>
                <w:sz w:val="12"/>
              </w:rPr>
              <w:t xml:space="preserve">$35,018 </w:t>
            </w:r>
            <w:r>
              <w:rPr>
                <w:rFonts w:cs="Calibri" w:hAnsi="Calibri" w:eastAsia="Calibri" w:ascii="Calibri"/>
                <w:b w:val="1"/>
                <w:sz w:val="12"/>
              </w:rPr>
              <w:t xml:space="preserve">$2,212,164</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€ 54,519</w:t>
            </w:r>
          </w:p>
          <w:p>
            <w:pPr>
              <w:spacing w:before="0" w:after="16" w:line="259" w:lineRule="auto"/>
              <w:ind w:left="0" w:right="5" w:firstLine="0"/>
              <w:jc w:val="right"/>
            </w:pPr>
            <w:r>
              <w:rPr>
                <w:rFonts w:cs="Calibri" w:hAnsi="Calibri" w:eastAsia="Calibri" w:ascii="Calibri"/>
                <w:sz w:val="12"/>
              </w:rPr>
              <w:t xml:space="preserve">€ 41,477</w:t>
            </w:r>
          </w:p>
          <w:p>
            <w:pPr>
              <w:spacing w:before="0" w:after="16" w:line="259" w:lineRule="auto"/>
              <w:ind w:left="0" w:right="5" w:firstLine="0"/>
              <w:jc w:val="right"/>
            </w:pPr>
            <w:r>
              <w:rPr>
                <w:rFonts w:cs="Calibri" w:hAnsi="Calibri" w:eastAsia="Calibri" w:ascii="Calibri"/>
                <w:sz w:val="12"/>
              </w:rPr>
              <w:t xml:space="preserve">€ 52,850</w:t>
            </w:r>
          </w:p>
          <w:p>
            <w:pPr>
              <w:spacing w:before="0" w:after="0" w:line="259" w:lineRule="auto"/>
              <w:ind w:left="373" w:right="5" w:firstLine="0"/>
              <w:jc w:val="right"/>
            </w:pPr>
            <w:r>
              <w:rPr>
                <w:rFonts w:cs="Calibri" w:hAnsi="Calibri" w:eastAsia="Calibri" w:ascii="Calibri"/>
                <w:sz w:val="12"/>
              </w:rPr>
              <w:t xml:space="preserve">€ 5,970 </w:t>
            </w:r>
            <w:r>
              <w:rPr>
                <w:rFonts w:cs="Calibri" w:hAnsi="Calibri" w:eastAsia="Calibri" w:ascii="Calibri"/>
                <w:b w:val="1"/>
                <w:sz w:val="12"/>
              </w:rPr>
              <w:t xml:space="preserve">€ 154,815</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€ 37,750</w:t>
            </w:r>
          </w:p>
          <w:p>
            <w:pPr>
              <w:spacing w:before="0" w:after="0" w:line="287" w:lineRule="auto"/>
              <w:ind w:left="440" w:right="0" w:hanging="57"/>
              <w:jc w:val="left"/>
            </w:pPr>
            <w:r>
              <w:rPr>
                <w:rFonts w:cs="Calibri" w:hAnsi="Calibri" w:eastAsia="Calibri" w:ascii="Calibri"/>
                <w:sz w:val="12"/>
              </w:rPr>
              <w:t xml:space="preserve">€ 755,000 € 30,200</w:t>
            </w:r>
          </w:p>
          <w:p>
            <w:pPr>
              <w:spacing w:before="0" w:after="0" w:line="259" w:lineRule="auto"/>
              <w:ind w:left="382" w:right="0" w:firstLine="58"/>
              <w:jc w:val="left"/>
            </w:pPr>
            <w:r>
              <w:rPr>
                <w:rFonts w:cs="Calibri" w:hAnsi="Calibri" w:eastAsia="Calibri" w:ascii="Calibri"/>
                <w:sz w:val="12"/>
              </w:rPr>
              <w:t xml:space="preserve">€ 10,234 </w:t>
            </w:r>
            <w:r>
              <w:rPr>
                <w:rFonts w:cs="Calibri" w:hAnsi="Calibri" w:eastAsia="Calibri" w:ascii="Calibri"/>
                <w:b w:val="1"/>
                <w:sz w:val="12"/>
              </w:rPr>
              <w:t xml:space="preserve">€ 833,184</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€ 0</w:t>
            </w:r>
          </w:p>
          <w:p>
            <w:pPr>
              <w:spacing w:before="0" w:after="0" w:line="287" w:lineRule="auto"/>
              <w:ind w:left="478" w:right="0" w:hanging="57"/>
              <w:jc w:val="left"/>
            </w:pPr>
            <w:r>
              <w:rPr>
                <w:rFonts w:cs="Calibri" w:hAnsi="Calibri" w:eastAsia="Calibri" w:ascii="Calibri"/>
                <w:sz w:val="12"/>
              </w:rPr>
              <w:t xml:space="preserve">€ 641,750 € 30,200</w:t>
            </w:r>
          </w:p>
          <w:p>
            <w:pPr>
              <w:spacing w:before="0" w:after="0" w:line="259" w:lineRule="auto"/>
              <w:ind w:left="421" w:right="0" w:firstLine="58"/>
              <w:jc w:val="left"/>
            </w:pPr>
            <w:r>
              <w:rPr>
                <w:rFonts w:cs="Calibri" w:hAnsi="Calibri" w:eastAsia="Calibri" w:ascii="Calibri"/>
                <w:sz w:val="12"/>
              </w:rPr>
              <w:t xml:space="preserve">€ 10,234 </w:t>
            </w:r>
            <w:r>
              <w:rPr>
                <w:rFonts w:cs="Calibri" w:hAnsi="Calibri" w:eastAsia="Calibri" w:ascii="Calibri"/>
                <w:b w:val="1"/>
                <w:sz w:val="12"/>
              </w:rPr>
              <w:t xml:space="preserve">€ 682,184</w:t>
            </w:r>
          </w:p>
        </w:tc>
        <w:tc>
          <w:tcPr>
            <w:tcW w:w="888" w:type="dxa"/>
            <w:vMerge w:val="restart"/>
            <w:tcBorders>
              <w:top w:val="nil"/>
              <w:left w:val="single" w:sz="9" w:color="000000"/>
              <w:bottom w:val="nil"/>
              <w:right w:val="single" w:sz="9" w:color="000000"/>
            </w:tcBorders>
            <w:vAlign w:val="top"/>
          </w:tcPr>
          <w:p>
            <w:pPr>
              <w:spacing w:before="0" w:after="23" w:line="259" w:lineRule="auto"/>
              <w:ind w:left="0" w:right="0" w:firstLine="0"/>
              <w:jc w:val="right"/>
            </w:pPr>
            <w:r>
              <w:rPr>
                <w:rFonts w:cs="Calibri" w:hAnsi="Calibri" w:eastAsia="Calibri" w:ascii="Calibri"/>
                <w:sz w:val="12"/>
              </w:rPr>
              <w:t xml:space="preserve">€ 92,269</w:t>
            </w:r>
          </w:p>
          <w:p>
            <w:pPr>
              <w:spacing w:before="0" w:after="16" w:line="259" w:lineRule="auto"/>
              <w:ind w:left="0" w:right="5" w:firstLine="0"/>
              <w:jc w:val="right"/>
            </w:pPr>
            <w:r>
              <w:rPr>
                <w:rFonts w:cs="Calibri" w:hAnsi="Calibri" w:eastAsia="Calibri" w:ascii="Calibri"/>
                <w:sz w:val="12"/>
              </w:rPr>
              <w:t xml:space="preserve">€ 1,438,227</w:t>
            </w:r>
          </w:p>
          <w:p>
            <w:pPr>
              <w:spacing w:before="0" w:after="16" w:line="259" w:lineRule="auto"/>
              <w:ind w:left="0" w:right="5" w:firstLine="0"/>
              <w:jc w:val="right"/>
            </w:pPr>
            <w:r>
              <w:rPr>
                <w:rFonts w:cs="Calibri" w:hAnsi="Calibri" w:eastAsia="Calibri" w:ascii="Calibri"/>
                <w:sz w:val="12"/>
              </w:rPr>
              <w:t xml:space="preserve">€ 113,250</w:t>
            </w:r>
          </w:p>
          <w:p>
            <w:pPr>
              <w:spacing w:before="0" w:after="0" w:line="259" w:lineRule="auto"/>
              <w:ind w:left="296" w:right="5" w:firstLine="0"/>
              <w:jc w:val="right"/>
            </w:pPr>
            <w:r>
              <w:rPr>
                <w:rFonts w:cs="Calibri" w:hAnsi="Calibri" w:eastAsia="Calibri" w:ascii="Calibri"/>
                <w:sz w:val="12"/>
              </w:rPr>
              <w:t xml:space="preserve">€ 26,439 </w:t>
            </w:r>
            <w:r>
              <w:rPr>
                <w:rFonts w:cs="Calibri" w:hAnsi="Calibri" w:eastAsia="Calibri" w:ascii="Calibri"/>
                <w:b w:val="1"/>
                <w:sz w:val="12"/>
              </w:rPr>
              <w:t xml:space="preserve">€ 1,670,184</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12%</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69" w:hRule="atLeast"/>
        </w:trPr>
        <w:tc>
          <w:tcPr>
            <w:tcW w:w="6422" w:type="dxa"/>
            <w:tcBorders>
              <w:top w:val="nil"/>
              <w:left w:val="single" w:sz="9" w:color="000000"/>
              <w:bottom w:val="nil"/>
              <w:right w:val="single" w:sz="9" w:color="000000"/>
            </w:tcBorders>
            <w:shd w:val="clear" w:fill="dbe4f1"/>
            <w:vAlign w:val="top"/>
          </w:tcPr>
          <w:p>
            <w:pPr>
              <w:spacing w:before="0" w:after="0" w:line="259" w:lineRule="auto"/>
              <w:ind w:left="37" w:right="0" w:firstLine="0"/>
              <w:jc w:val="left"/>
            </w:pPr>
            <w:r>
              <w:rPr>
                <w:rFonts w:cs="Calibri" w:hAnsi="Calibri" w:eastAsia="Calibri" w:ascii="Calibri"/>
                <w:b w:val="1"/>
                <w:sz w:val="12"/>
              </w:rPr>
              <w:t xml:space="preserve">Output 5:  Delivery of Civic and Voter education and information improved and extended to hard to reach citizens</w:t>
            </w:r>
          </w:p>
        </w:tc>
        <w:tc>
          <w:tcPr>
            <w:tcW w:w="86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848" w:hRule="atLeast"/>
        </w:trPr>
        <w:tc>
          <w:tcPr>
            <w:tcW w:w="6422" w:type="dxa"/>
            <w:vMerge w:val="restart"/>
            <w:tcBorders>
              <w:top w:val="nil"/>
              <w:left w:val="single" w:sz="9" w:color="000000"/>
              <w:bottom w:val="single" w:sz="9" w:color="000000"/>
              <w:right w:val="single" w:sz="9" w:color="000000"/>
            </w:tcBorders>
            <w:vAlign w:val="top"/>
          </w:tcPr>
          <w:p>
            <w:pPr>
              <w:tabs>
                <w:tab w:val="center" w:pos="470"/>
                <w:tab w:val="center" w:pos="2519"/>
              </w:tabs>
              <w:spacing w:before="0" w:after="23"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2.5.1.	</w:t>
            </w:r>
            <w:r>
              <w:rPr>
                <w:rFonts w:cs="Calibri" w:hAnsi="Calibri" w:eastAsia="Calibri" w:ascii="Calibri"/>
                <w:sz w:val="12"/>
              </w:rPr>
              <w:t xml:space="preserve"> Review, design and implementation of voter education EMBs, CSOs &amp; media</w:t>
            </w:r>
          </w:p>
          <w:p>
            <w:pPr>
              <w:tabs>
                <w:tab w:val="center" w:pos="470"/>
                <w:tab w:val="center" w:pos="2403"/>
              </w:tabs>
              <w:spacing w:before="0" w:after="26"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2.5.2.	</w:t>
            </w:r>
            <w:r>
              <w:rPr>
                <w:rFonts w:cs="Calibri" w:hAnsi="Calibri" w:eastAsia="Calibri" w:ascii="Calibri"/>
                <w:sz w:val="12"/>
              </w:rPr>
              <w:t xml:space="preserve"> Undertake surveys to assess public understanding of democratic values </w:t>
            </w:r>
          </w:p>
          <w:p>
            <w:pPr>
              <w:tabs>
                <w:tab w:val="center" w:pos="470"/>
                <w:tab w:val="center" w:pos="2580"/>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2.5.3.	</w:t>
            </w:r>
            <w:r>
              <w:rPr>
                <w:rFonts w:cs="Calibri" w:hAnsi="Calibri" w:eastAsia="Calibri" w:ascii="Calibri"/>
                <w:sz w:val="12"/>
              </w:rPr>
              <w:t xml:space="preserve"> Support NEC and ZEC in the establishment of small and medium grants scheme </w:t>
            </w:r>
          </w:p>
          <w:p>
            <w:pPr>
              <w:tabs>
                <w:tab w:val="center" w:pos="470"/>
                <w:tab w:val="center" w:pos="1737"/>
              </w:tabs>
              <w:spacing w:before="0" w:after="26"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2.5.4.	</w:t>
            </w:r>
            <w:r>
              <w:rPr>
                <w:rFonts w:cs="Calibri" w:hAnsi="Calibri" w:eastAsia="Calibri" w:ascii="Calibri"/>
                <w:sz w:val="12"/>
              </w:rPr>
              <w:t xml:space="preserve">Support community media (UNESCO Grant)</w:t>
            </w:r>
          </w:p>
          <w:p>
            <w:pPr>
              <w:tabs>
                <w:tab w:val="center" w:pos="470"/>
                <w:tab w:val="center" w:pos="2583"/>
              </w:tabs>
              <w:spacing w:before="0" w:after="35"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2.5.5.	</w:t>
            </w:r>
            <w:r>
              <w:rPr>
                <w:rFonts w:cs="Calibri" w:hAnsi="Calibri" w:eastAsia="Calibri" w:ascii="Calibri"/>
                <w:sz w:val="12"/>
              </w:rPr>
              <w:t xml:space="preserve">Support creation of infrastructure for social media utilization in elections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single" w:sz="9" w:color="000000"/>
              <w:right w:val="single" w:sz="9" w:color="000000"/>
            </w:tcBorders>
            <w:vAlign w:val="top"/>
          </w:tcPr>
          <w:p>
            <w:pPr>
              <w:spacing w:before="0" w:after="16" w:line="259" w:lineRule="auto"/>
              <w:ind w:left="0" w:right="0" w:firstLine="0"/>
              <w:jc w:val="right"/>
            </w:pPr>
            <w:r>
              <w:rPr>
                <w:rFonts w:cs="Calibri" w:hAnsi="Calibri" w:eastAsia="Calibri" w:ascii="Calibri"/>
                <w:sz w:val="12"/>
              </w:rPr>
              <w:t xml:space="preserve">$60,000</w:t>
            </w:r>
          </w:p>
          <w:p>
            <w:pPr>
              <w:spacing w:before="0" w:after="16" w:line="259" w:lineRule="auto"/>
              <w:ind w:left="0" w:right="0" w:firstLine="0"/>
              <w:jc w:val="right"/>
            </w:pPr>
            <w:r>
              <w:rPr>
                <w:rFonts w:cs="Calibri" w:hAnsi="Calibri" w:eastAsia="Calibri" w:ascii="Calibri"/>
                <w:sz w:val="12"/>
              </w:rPr>
              <w:t xml:space="preserve">$0</w:t>
            </w:r>
          </w:p>
          <w:p>
            <w:pPr>
              <w:spacing w:before="0" w:after="16" w:line="259" w:lineRule="auto"/>
              <w:ind w:left="0" w:right="0" w:firstLine="0"/>
              <w:jc w:val="right"/>
            </w:pPr>
            <w:r>
              <w:rPr>
                <w:rFonts w:cs="Calibri" w:hAnsi="Calibri" w:eastAsia="Calibri" w:ascii="Calibri"/>
                <w:sz w:val="12"/>
              </w:rPr>
              <w:t xml:space="preserve">$37,588</w:t>
            </w:r>
          </w:p>
          <w:p>
            <w:pPr>
              <w:spacing w:before="0" w:after="7" w:line="259" w:lineRule="auto"/>
              <w:ind w:left="0" w:right="0" w:firstLine="0"/>
              <w:jc w:val="right"/>
            </w:pPr>
            <w:r>
              <w:rPr>
                <w:rFonts w:cs="Calibri" w:hAnsi="Calibri" w:eastAsia="Calibri" w:ascii="Calibri"/>
                <w:sz w:val="12"/>
              </w:rPr>
              <w:t xml:space="preserve">$278,635</w:t>
            </w:r>
          </w:p>
          <w:p>
            <w:pPr>
              <w:spacing w:before="0" w:after="33" w:line="259" w:lineRule="auto"/>
              <w:ind w:left="0" w:right="0" w:firstLine="0"/>
              <w:jc w:val="right"/>
            </w:pPr>
            <w:r>
              <w:rPr>
                <w:rFonts w:cs="Calibri" w:hAnsi="Calibri" w:eastAsia="Calibri" w:ascii="Calibri"/>
                <w:sz w:val="12"/>
              </w:rPr>
              <w:t xml:space="preserve">$64,078</w:t>
            </w:r>
          </w:p>
          <w:p>
            <w:pPr>
              <w:spacing w:before="0" w:after="0" w:line="259" w:lineRule="auto"/>
              <w:ind w:left="0" w:right="0" w:firstLine="0"/>
              <w:jc w:val="right"/>
            </w:pPr>
            <w:r>
              <w:rPr>
                <w:rFonts w:cs="Calibri" w:hAnsi="Calibri" w:eastAsia="Calibri" w:ascii="Calibri"/>
                <w:b w:val="1"/>
                <w:sz w:val="12"/>
              </w:rPr>
              <w:t xml:space="preserve">$440,301</w:t>
            </w:r>
          </w:p>
        </w:tc>
        <w:tc>
          <w:tcPr>
            <w:tcW w:w="907" w:type="dxa"/>
            <w:vMerge w:val="restart"/>
            <w:tcBorders>
              <w:top w:val="nil"/>
              <w:left w:val="single" w:sz="9" w:color="000000"/>
              <w:bottom w:val="single" w:sz="9" w:color="000000"/>
              <w:right w:val="single" w:sz="9" w:color="000000"/>
            </w:tcBorders>
            <w:vAlign w:val="top"/>
          </w:tcPr>
          <w:p>
            <w:pPr>
              <w:spacing w:before="0" w:after="16" w:line="259" w:lineRule="auto"/>
              <w:ind w:left="1" w:right="0" w:firstLine="0"/>
              <w:jc w:val="center"/>
            </w:pPr>
            <w:r>
              <w:rPr>
                <w:rFonts w:cs="Calibri" w:hAnsi="Calibri" w:eastAsia="Calibri" w:ascii="Calibri"/>
                <w:sz w:val="12"/>
              </w:rPr>
              <w:t xml:space="preserve">$75,000</w:t>
            </w:r>
          </w:p>
          <w:p>
            <w:pPr>
              <w:spacing w:before="0" w:after="16" w:line="259" w:lineRule="auto"/>
              <w:ind w:left="1" w:right="0" w:firstLine="0"/>
              <w:jc w:val="center"/>
            </w:pPr>
            <w:r>
              <w:rPr>
                <w:rFonts w:cs="Calibri" w:hAnsi="Calibri" w:eastAsia="Calibri" w:ascii="Calibri"/>
                <w:sz w:val="12"/>
              </w:rPr>
              <w:t xml:space="preserve">$300,000</w:t>
            </w:r>
          </w:p>
          <w:p>
            <w:pPr>
              <w:spacing w:before="0" w:after="16" w:line="259" w:lineRule="auto"/>
              <w:ind w:left="1" w:right="0" w:firstLine="0"/>
              <w:jc w:val="center"/>
            </w:pPr>
            <w:r>
              <w:rPr>
                <w:rFonts w:cs="Calibri" w:hAnsi="Calibri" w:eastAsia="Calibri" w:ascii="Calibri"/>
                <w:sz w:val="12"/>
              </w:rPr>
              <w:t xml:space="preserve">$287,338</w:t>
            </w:r>
          </w:p>
          <w:p>
            <w:pPr>
              <w:spacing w:before="0" w:after="7" w:line="259" w:lineRule="auto"/>
              <w:ind w:left="1" w:right="0" w:firstLine="0"/>
              <w:jc w:val="center"/>
            </w:pPr>
            <w:r>
              <w:rPr>
                <w:rFonts w:cs="Calibri" w:hAnsi="Calibri" w:eastAsia="Calibri" w:ascii="Calibri"/>
                <w:sz w:val="12"/>
              </w:rPr>
              <w:t xml:space="preserve">$300,000</w:t>
            </w:r>
          </w:p>
          <w:p>
            <w:pPr>
              <w:spacing w:before="0" w:after="33" w:line="259" w:lineRule="auto"/>
              <w:ind w:left="1" w:right="0" w:firstLine="0"/>
              <w:jc w:val="center"/>
            </w:pPr>
            <w:r>
              <w:rPr>
                <w:rFonts w:cs="Calibri" w:hAnsi="Calibri" w:eastAsia="Calibri" w:ascii="Calibri"/>
                <w:sz w:val="12"/>
              </w:rPr>
              <w:t xml:space="preserve">$106,493</w:t>
            </w:r>
          </w:p>
          <w:p>
            <w:pPr>
              <w:spacing w:before="0" w:after="0" w:line="259" w:lineRule="auto"/>
              <w:ind w:left="0" w:right="0" w:firstLine="0"/>
              <w:jc w:val="right"/>
            </w:pPr>
            <w:r>
              <w:rPr>
                <w:rFonts w:cs="Calibri" w:hAnsi="Calibri" w:eastAsia="Calibri" w:ascii="Calibri"/>
                <w:b w:val="1"/>
                <w:sz w:val="12"/>
              </w:rPr>
              <w:t xml:space="preserve">$1,068,831</w:t>
            </w:r>
          </w:p>
        </w:tc>
        <w:tc>
          <w:tcPr>
            <w:tcW w:w="991" w:type="dxa"/>
            <w:vMerge w:val="restart"/>
            <w:tcBorders>
              <w:top w:val="nil"/>
              <w:left w:val="single" w:sz="9" w:color="000000"/>
              <w:bottom w:val="single" w:sz="9" w:color="000000"/>
              <w:right w:val="single" w:sz="9" w:color="000000"/>
            </w:tcBorders>
            <w:vAlign w:val="top"/>
          </w:tcPr>
          <w:p>
            <w:pPr>
              <w:spacing w:before="0" w:after="16" w:line="259" w:lineRule="auto"/>
              <w:ind w:left="0" w:right="2" w:firstLine="0"/>
              <w:jc w:val="center"/>
            </w:pPr>
            <w:r>
              <w:rPr>
                <w:rFonts w:cs="Calibri" w:hAnsi="Calibri" w:eastAsia="Calibri" w:ascii="Calibri"/>
                <w:sz w:val="12"/>
              </w:rPr>
              <w:t xml:space="preserve">$75,000</w:t>
            </w:r>
          </w:p>
          <w:p>
            <w:pPr>
              <w:spacing w:before="0" w:after="16" w:line="259" w:lineRule="auto"/>
              <w:ind w:left="0" w:right="2" w:firstLine="0"/>
              <w:jc w:val="center"/>
            </w:pPr>
            <w:r>
              <w:rPr>
                <w:rFonts w:cs="Calibri" w:hAnsi="Calibri" w:eastAsia="Calibri" w:ascii="Calibri"/>
                <w:sz w:val="12"/>
              </w:rPr>
              <w:t xml:space="preserve">$250,000</w:t>
            </w:r>
          </w:p>
          <w:p>
            <w:pPr>
              <w:spacing w:before="0" w:after="16" w:line="259" w:lineRule="auto"/>
              <w:ind w:left="0" w:right="1" w:firstLine="0"/>
              <w:jc w:val="center"/>
            </w:pPr>
            <w:r>
              <w:rPr>
                <w:rFonts w:cs="Calibri" w:hAnsi="Calibri" w:eastAsia="Calibri" w:ascii="Calibri"/>
                <w:sz w:val="12"/>
              </w:rPr>
              <w:t xml:space="preserve">$287,338</w:t>
            </w:r>
          </w:p>
          <w:p>
            <w:pPr>
              <w:spacing w:before="0" w:after="7" w:line="259" w:lineRule="auto"/>
              <w:ind w:left="0" w:right="1" w:firstLine="0"/>
              <w:jc w:val="center"/>
            </w:pPr>
            <w:r>
              <w:rPr>
                <w:rFonts w:cs="Calibri" w:hAnsi="Calibri" w:eastAsia="Calibri" w:ascii="Calibri"/>
                <w:sz w:val="12"/>
              </w:rPr>
              <w:t xml:space="preserve">$300,000</w:t>
            </w:r>
          </w:p>
          <w:p>
            <w:pPr>
              <w:spacing w:before="0" w:after="33" w:line="259" w:lineRule="auto"/>
              <w:ind w:left="0" w:right="1" w:firstLine="0"/>
              <w:jc w:val="center"/>
            </w:pPr>
            <w:r>
              <w:rPr>
                <w:rFonts w:cs="Calibri" w:hAnsi="Calibri" w:eastAsia="Calibri" w:ascii="Calibri"/>
                <w:sz w:val="12"/>
              </w:rPr>
              <w:t xml:space="preserve">$106,493</w:t>
            </w:r>
          </w:p>
          <w:p>
            <w:pPr>
              <w:spacing w:before="0" w:after="0" w:line="259" w:lineRule="auto"/>
              <w:ind w:left="0" w:right="0" w:firstLine="0"/>
              <w:jc w:val="right"/>
            </w:pPr>
            <w:r>
              <w:rPr>
                <w:rFonts w:cs="Calibri" w:hAnsi="Calibri" w:eastAsia="Calibri" w:ascii="Calibri"/>
                <w:b w:val="1"/>
                <w:sz w:val="12"/>
              </w:rPr>
              <w:t xml:space="preserve">$1,018,831</w:t>
            </w:r>
          </w:p>
        </w:tc>
        <w:tc>
          <w:tcPr>
            <w:tcW w:w="859" w:type="dxa"/>
            <w:vMerge w:val="restart"/>
            <w:tcBorders>
              <w:top w:val="nil"/>
              <w:left w:val="single" w:sz="9" w:color="000000"/>
              <w:bottom w:val="single" w:sz="9" w:color="000000"/>
              <w:right w:val="single" w:sz="9" w:color="000000"/>
            </w:tcBorders>
            <w:vAlign w:val="top"/>
          </w:tcPr>
          <w:p>
            <w:pPr>
              <w:spacing w:before="0" w:after="16" w:line="259" w:lineRule="auto"/>
              <w:ind w:left="0" w:right="0" w:firstLine="0"/>
              <w:jc w:val="right"/>
            </w:pPr>
            <w:r>
              <w:rPr>
                <w:rFonts w:cs="Calibri" w:hAnsi="Calibri" w:eastAsia="Calibri" w:ascii="Calibri"/>
                <w:sz w:val="12"/>
              </w:rPr>
              <w:t xml:space="preserve">$210,000</w:t>
            </w:r>
          </w:p>
          <w:p>
            <w:pPr>
              <w:spacing w:before="0" w:after="16" w:line="259" w:lineRule="auto"/>
              <w:ind w:left="0" w:right="0" w:firstLine="0"/>
              <w:jc w:val="right"/>
            </w:pPr>
            <w:r>
              <w:rPr>
                <w:rFonts w:cs="Calibri" w:hAnsi="Calibri" w:eastAsia="Calibri" w:ascii="Calibri"/>
                <w:sz w:val="12"/>
              </w:rPr>
              <w:t xml:space="preserve">$550,000</w:t>
            </w:r>
          </w:p>
          <w:p>
            <w:pPr>
              <w:spacing w:before="0" w:after="16" w:line="259" w:lineRule="auto"/>
              <w:ind w:left="0" w:right="0" w:firstLine="0"/>
              <w:jc w:val="right"/>
            </w:pPr>
            <w:r>
              <w:rPr>
                <w:rFonts w:cs="Calibri" w:hAnsi="Calibri" w:eastAsia="Calibri" w:ascii="Calibri"/>
                <w:sz w:val="12"/>
              </w:rPr>
              <w:t xml:space="preserve">$612,264</w:t>
            </w:r>
          </w:p>
          <w:p>
            <w:pPr>
              <w:spacing w:before="0" w:after="7" w:line="259" w:lineRule="auto"/>
              <w:ind w:left="0" w:right="0" w:firstLine="0"/>
              <w:jc w:val="right"/>
            </w:pPr>
            <w:r>
              <w:rPr>
                <w:rFonts w:cs="Calibri" w:hAnsi="Calibri" w:eastAsia="Calibri" w:ascii="Calibri"/>
                <w:sz w:val="12"/>
              </w:rPr>
              <w:t xml:space="preserve">$878,635</w:t>
            </w:r>
          </w:p>
          <w:p>
            <w:pPr>
              <w:spacing w:before="0" w:after="0" w:line="259" w:lineRule="auto"/>
              <w:ind w:left="0" w:right="0" w:firstLine="0"/>
              <w:jc w:val="right"/>
            </w:pPr>
            <w:r>
              <w:rPr>
                <w:rFonts w:cs="Calibri" w:hAnsi="Calibri" w:eastAsia="Calibri" w:ascii="Calibri"/>
                <w:sz w:val="12"/>
              </w:rPr>
              <w:t xml:space="preserve">$277,063 </w:t>
            </w:r>
            <w:r>
              <w:rPr>
                <w:rFonts w:cs="Calibri" w:hAnsi="Calibri" w:eastAsia="Calibri" w:ascii="Calibri"/>
                <w:b w:val="1"/>
                <w:sz w:val="12"/>
              </w:rPr>
              <w:t xml:space="preserve">$2,527,962</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single" w:sz="9" w:color="000000"/>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€ 45,300</w:t>
            </w:r>
          </w:p>
          <w:p>
            <w:pPr>
              <w:spacing w:before="0" w:after="16" w:line="259" w:lineRule="auto"/>
              <w:ind w:left="0" w:right="5" w:firstLine="0"/>
              <w:jc w:val="right"/>
            </w:pPr>
            <w:r>
              <w:rPr>
                <w:rFonts w:cs="Calibri" w:hAnsi="Calibri" w:eastAsia="Calibri" w:ascii="Calibri"/>
                <w:sz w:val="12"/>
              </w:rPr>
              <w:t xml:space="preserve">€ 0</w:t>
            </w:r>
          </w:p>
          <w:p>
            <w:pPr>
              <w:spacing w:before="0" w:after="16" w:line="259" w:lineRule="auto"/>
              <w:ind w:left="0" w:right="5" w:firstLine="0"/>
              <w:jc w:val="right"/>
            </w:pPr>
            <w:r>
              <w:rPr>
                <w:rFonts w:cs="Calibri" w:hAnsi="Calibri" w:eastAsia="Calibri" w:ascii="Calibri"/>
                <w:sz w:val="12"/>
              </w:rPr>
              <w:t xml:space="preserve">€ 28,379</w:t>
            </w:r>
          </w:p>
          <w:p>
            <w:pPr>
              <w:spacing w:before="0" w:after="16" w:line="259" w:lineRule="auto"/>
              <w:ind w:left="0" w:right="5" w:firstLine="0"/>
              <w:jc w:val="right"/>
            </w:pPr>
            <w:r>
              <w:rPr>
                <w:rFonts w:cs="Calibri" w:hAnsi="Calibri" w:eastAsia="Calibri" w:ascii="Calibri"/>
                <w:sz w:val="12"/>
              </w:rPr>
              <w:t xml:space="preserve">€ 210,369</w:t>
            </w:r>
          </w:p>
          <w:p>
            <w:pPr>
              <w:spacing w:before="0" w:after="16" w:line="259" w:lineRule="auto"/>
              <w:ind w:left="0" w:right="5" w:firstLine="0"/>
              <w:jc w:val="right"/>
            </w:pPr>
            <w:r>
              <w:rPr>
                <w:rFonts w:cs="Calibri" w:hAnsi="Calibri" w:eastAsia="Calibri" w:ascii="Calibri"/>
                <w:sz w:val="12"/>
              </w:rPr>
              <w:t xml:space="preserve">€ 48,379</w:t>
            </w:r>
          </w:p>
          <w:p>
            <w:pPr>
              <w:spacing w:before="0" w:after="0" w:line="259" w:lineRule="auto"/>
              <w:ind w:left="0" w:right="0" w:firstLine="0"/>
              <w:jc w:val="right"/>
            </w:pPr>
            <w:r>
              <w:rPr>
                <w:rFonts w:cs="Calibri" w:hAnsi="Calibri" w:eastAsia="Calibri" w:ascii="Calibri"/>
                <w:b w:val="1"/>
                <w:sz w:val="12"/>
              </w:rPr>
              <w:t xml:space="preserve">€ 332,427</w:t>
            </w:r>
          </w:p>
        </w:tc>
        <w:tc>
          <w:tcPr>
            <w:tcW w:w="888" w:type="dxa"/>
            <w:vMerge w:val="restart"/>
            <w:tcBorders>
              <w:top w:val="nil"/>
              <w:left w:val="single" w:sz="9" w:color="000000"/>
              <w:bottom w:val="single" w:sz="9" w:color="000000"/>
              <w:right w:val="single" w:sz="9" w:color="000000"/>
            </w:tcBorders>
            <w:vAlign w:val="top"/>
          </w:tcPr>
          <w:p>
            <w:pPr>
              <w:spacing w:before="0" w:after="0" w:line="287" w:lineRule="auto"/>
              <w:ind w:left="383" w:right="0" w:firstLine="57"/>
              <w:jc w:val="left"/>
            </w:pPr>
            <w:r>
              <w:rPr>
                <w:rFonts w:cs="Calibri" w:hAnsi="Calibri" w:eastAsia="Calibri" w:ascii="Calibri"/>
                <w:sz w:val="12"/>
              </w:rPr>
              <w:t xml:space="preserve">€ 56,625 € 226,500</w:t>
            </w:r>
          </w:p>
          <w:p>
            <w:pPr>
              <w:spacing w:before="0" w:after="16" w:line="259" w:lineRule="auto"/>
              <w:ind w:left="0" w:right="5" w:firstLine="0"/>
              <w:jc w:val="right"/>
            </w:pPr>
            <w:r>
              <w:rPr>
                <w:rFonts w:cs="Calibri" w:hAnsi="Calibri" w:eastAsia="Calibri" w:ascii="Calibri"/>
                <w:sz w:val="12"/>
              </w:rPr>
              <w:t xml:space="preserve">€ 216,940</w:t>
            </w:r>
          </w:p>
          <w:p>
            <w:pPr>
              <w:spacing w:before="0" w:after="16" w:line="259" w:lineRule="auto"/>
              <w:ind w:left="0" w:right="5" w:firstLine="0"/>
              <w:jc w:val="right"/>
            </w:pPr>
            <w:r>
              <w:rPr>
                <w:rFonts w:cs="Calibri" w:hAnsi="Calibri" w:eastAsia="Calibri" w:ascii="Calibri"/>
                <w:sz w:val="12"/>
              </w:rPr>
              <w:t xml:space="preserve">€ 226,500</w:t>
            </w:r>
          </w:p>
          <w:p>
            <w:pPr>
              <w:spacing w:before="0" w:after="16" w:line="259" w:lineRule="auto"/>
              <w:ind w:left="0" w:right="5" w:firstLine="0"/>
              <w:jc w:val="right"/>
            </w:pPr>
            <w:r>
              <w:rPr>
                <w:rFonts w:cs="Calibri" w:hAnsi="Calibri" w:eastAsia="Calibri" w:ascii="Calibri"/>
                <w:sz w:val="12"/>
              </w:rPr>
              <w:t xml:space="preserve">€ 80,402</w:t>
            </w:r>
          </w:p>
          <w:p>
            <w:pPr>
              <w:spacing w:before="0" w:after="0" w:line="259" w:lineRule="auto"/>
              <w:ind w:left="0" w:right="0" w:firstLine="0"/>
              <w:jc w:val="right"/>
            </w:pPr>
            <w:r>
              <w:rPr>
                <w:rFonts w:cs="Calibri" w:hAnsi="Calibri" w:eastAsia="Calibri" w:ascii="Calibri"/>
                <w:b w:val="1"/>
                <w:sz w:val="12"/>
              </w:rPr>
              <w:t xml:space="preserve">€ 806,967</w:t>
            </w:r>
          </w:p>
        </w:tc>
        <w:tc>
          <w:tcPr>
            <w:tcW w:w="926" w:type="dxa"/>
            <w:vMerge w:val="restart"/>
            <w:tcBorders>
              <w:top w:val="nil"/>
              <w:left w:val="single" w:sz="9" w:color="000000"/>
              <w:bottom w:val="single" w:sz="9" w:color="000000"/>
              <w:right w:val="single" w:sz="9" w:color="000000"/>
            </w:tcBorders>
            <w:vAlign w:val="top"/>
          </w:tcPr>
          <w:p>
            <w:pPr>
              <w:spacing w:before="0" w:after="0" w:line="287" w:lineRule="auto"/>
              <w:ind w:left="421" w:right="0" w:firstLine="57"/>
              <w:jc w:val="left"/>
            </w:pPr>
            <w:r>
              <w:rPr>
                <w:rFonts w:cs="Calibri" w:hAnsi="Calibri" w:eastAsia="Calibri" w:ascii="Calibri"/>
                <w:sz w:val="12"/>
              </w:rPr>
              <w:t xml:space="preserve">€ 56,625 € 188,750</w:t>
            </w:r>
          </w:p>
          <w:p>
            <w:pPr>
              <w:spacing w:before="0" w:after="16" w:line="259" w:lineRule="auto"/>
              <w:ind w:left="0" w:right="5" w:firstLine="0"/>
              <w:jc w:val="right"/>
            </w:pPr>
            <w:r>
              <w:rPr>
                <w:rFonts w:cs="Calibri" w:hAnsi="Calibri" w:eastAsia="Calibri" w:ascii="Calibri"/>
                <w:sz w:val="12"/>
              </w:rPr>
              <w:t xml:space="preserve">€ 216,940</w:t>
            </w:r>
          </w:p>
          <w:p>
            <w:pPr>
              <w:spacing w:before="0" w:after="16" w:line="259" w:lineRule="auto"/>
              <w:ind w:left="0" w:right="5" w:firstLine="0"/>
              <w:jc w:val="right"/>
            </w:pPr>
            <w:r>
              <w:rPr>
                <w:rFonts w:cs="Calibri" w:hAnsi="Calibri" w:eastAsia="Calibri" w:ascii="Calibri"/>
                <w:sz w:val="12"/>
              </w:rPr>
              <w:t xml:space="preserve">€ 226,500</w:t>
            </w:r>
          </w:p>
          <w:p>
            <w:pPr>
              <w:spacing w:before="0" w:after="16" w:line="259" w:lineRule="auto"/>
              <w:ind w:left="0" w:right="5" w:firstLine="0"/>
              <w:jc w:val="right"/>
            </w:pPr>
            <w:r>
              <w:rPr>
                <w:rFonts w:cs="Calibri" w:hAnsi="Calibri" w:eastAsia="Calibri" w:ascii="Calibri"/>
                <w:sz w:val="12"/>
              </w:rPr>
              <w:t xml:space="preserve">€ 80,402</w:t>
            </w:r>
          </w:p>
          <w:p>
            <w:pPr>
              <w:spacing w:before="0" w:after="0" w:line="259" w:lineRule="auto"/>
              <w:ind w:left="0" w:right="0" w:firstLine="0"/>
              <w:jc w:val="right"/>
            </w:pPr>
            <w:r>
              <w:rPr>
                <w:rFonts w:cs="Calibri" w:hAnsi="Calibri" w:eastAsia="Calibri" w:ascii="Calibri"/>
                <w:b w:val="1"/>
                <w:sz w:val="12"/>
              </w:rPr>
              <w:t xml:space="preserve">€ 769,217</w:t>
            </w:r>
          </w:p>
        </w:tc>
        <w:tc>
          <w:tcPr>
            <w:tcW w:w="888" w:type="dxa"/>
            <w:vMerge w:val="restart"/>
            <w:tcBorders>
              <w:top w:val="nil"/>
              <w:left w:val="single" w:sz="9" w:color="000000"/>
              <w:bottom w:val="single" w:sz="9" w:color="000000"/>
              <w:right w:val="single" w:sz="9" w:color="000000"/>
            </w:tcBorders>
            <w:vAlign w:val="top"/>
          </w:tcPr>
          <w:p>
            <w:pPr>
              <w:spacing w:before="0" w:after="16" w:line="259" w:lineRule="auto"/>
              <w:ind w:left="0" w:right="0" w:firstLine="0"/>
              <w:jc w:val="right"/>
            </w:pPr>
            <w:r>
              <w:rPr>
                <w:rFonts w:cs="Calibri" w:hAnsi="Calibri" w:eastAsia="Calibri" w:ascii="Calibri"/>
                <w:sz w:val="12"/>
              </w:rPr>
              <w:t xml:space="preserve">€ 158,550</w:t>
            </w:r>
          </w:p>
          <w:p>
            <w:pPr>
              <w:spacing w:before="0" w:after="16" w:line="259" w:lineRule="auto"/>
              <w:ind w:left="0" w:right="0" w:firstLine="0"/>
              <w:jc w:val="right"/>
            </w:pPr>
            <w:r>
              <w:rPr>
                <w:rFonts w:cs="Calibri" w:hAnsi="Calibri" w:eastAsia="Calibri" w:ascii="Calibri"/>
                <w:sz w:val="12"/>
              </w:rPr>
              <w:t xml:space="preserve">€ 415,250</w:t>
            </w:r>
          </w:p>
          <w:p>
            <w:pPr>
              <w:spacing w:before="0" w:after="16" w:line="259" w:lineRule="auto"/>
              <w:ind w:left="0" w:right="0" w:firstLine="0"/>
              <w:jc w:val="right"/>
            </w:pPr>
            <w:r>
              <w:rPr>
                <w:rFonts w:cs="Calibri" w:hAnsi="Calibri" w:eastAsia="Calibri" w:ascii="Calibri"/>
                <w:sz w:val="12"/>
              </w:rPr>
              <w:t xml:space="preserve">€ 462,259</w:t>
            </w:r>
          </w:p>
          <w:p>
            <w:pPr>
              <w:spacing w:before="0" w:after="21" w:line="259" w:lineRule="auto"/>
              <w:ind w:left="0" w:right="0" w:firstLine="0"/>
              <w:jc w:val="right"/>
            </w:pPr>
            <w:r>
              <w:rPr>
                <w:rFonts w:cs="Calibri" w:hAnsi="Calibri" w:eastAsia="Calibri" w:ascii="Calibri"/>
                <w:sz w:val="12"/>
              </w:rPr>
              <w:t xml:space="preserve">€ 663,369</w:t>
            </w:r>
          </w:p>
          <w:p>
            <w:pPr>
              <w:spacing w:before="0" w:after="0" w:line="259" w:lineRule="auto"/>
              <w:ind w:left="301" w:right="0" w:firstLine="0"/>
              <w:jc w:val="right"/>
            </w:pPr>
            <w:r>
              <w:rPr>
                <w:rFonts w:cs="Calibri" w:hAnsi="Calibri" w:eastAsia="Calibri" w:ascii="Calibri"/>
                <w:sz w:val="12"/>
              </w:rPr>
              <w:t xml:space="preserve">€ 209,183 </w:t>
            </w:r>
            <w:r>
              <w:rPr>
                <w:rFonts w:cs="Calibri" w:hAnsi="Calibri" w:eastAsia="Calibri" w:ascii="Calibri"/>
                <w:b w:val="1"/>
                <w:sz w:val="12"/>
              </w:rPr>
              <w:t xml:space="preserve">€ 1,908,611</w:t>
            </w:r>
          </w:p>
        </w:tc>
      </w:tr>
      <w:tr>
        <w:trPr>
          <w:trHeight w:val="178" w:hRule="atLeast"/>
        </w:trPr>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14%</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single" w:sz="9" w:color="000000"/>
              <w:right w:val="single" w:sz="9" w:color="000000"/>
            </w:tcBorders>
            <w:vAlign w:val="top"/>
          </w:tcPr>
          <w:p>
            <w:pPr>
              <w:bidi w:val="0"/>
              <w:spacing w:before="0" w:after="160" w:line="259" w:lineRule="auto"/>
              <w:ind w:left="0" w:right="0" w:firstLine="0"/>
              <w:jc w:val="left"/>
            </w:pPr>
          </w:p>
        </w:tc>
      </w:tr>
    </w:tbl>
    <w:tbl>
      <w:tblPr>
        <w:tblStyle w:val="TableGrid"/>
        <w:tblW w:w="14350" w:type="dxa"/>
        <w:tblInd w:w="-505" w:type="dxa"/>
        <w:tblCellMar>
          <w:top w:w="0" w:type="dxa"/>
          <w:left w:w="21" w:type="dxa"/>
          <w:bottom w:w="0" w:type="dxa"/>
          <w:right w:w="19" w:type="dxa"/>
        </w:tblCellMar>
      </w:tblPr>
      <w:tblGrid>
        <w:gridCol w:w="6422"/>
        <w:gridCol w:w="869"/>
        <w:gridCol w:w="907"/>
        <w:gridCol w:w="991"/>
        <w:gridCol w:w="859"/>
        <w:gridCol w:w="336"/>
        <w:gridCol w:w="384"/>
        <w:gridCol w:w="878"/>
        <w:gridCol w:w="888"/>
        <w:gridCol w:w="926"/>
        <w:gridCol w:w="888"/>
      </w:tblGrid>
      <w:tr>
        <w:trPr>
          <w:trHeight w:val="167" w:hRule="atLeast"/>
        </w:trPr>
        <w:tc>
          <w:tcPr>
            <w:tcW w:w="6422" w:type="dxa"/>
            <w:tcBorders>
              <w:top w:val="single" w:sz="9" w:color="000000"/>
              <w:left w:val="single" w:sz="9" w:color="000000"/>
              <w:bottom w:val="nil"/>
              <w:right w:val="single" w:sz="9" w:color="000000"/>
            </w:tcBorders>
            <w:shd w:val="clear" w:fill="dbe4f1"/>
            <w:vAlign w:val="top"/>
          </w:tcPr>
          <w:p>
            <w:pPr>
              <w:spacing w:before="0" w:after="0" w:line="259" w:lineRule="auto"/>
              <w:ind w:left="37" w:right="0" w:firstLine="0"/>
              <w:jc w:val="left"/>
            </w:pPr>
            <w:r>
              <w:rPr>
                <w:rFonts w:cs="Calibri" w:hAnsi="Calibri" w:eastAsia="Calibri" w:ascii="Calibri"/>
                <w:b w:val="1"/>
                <w:sz w:val="12"/>
              </w:rPr>
              <w:t xml:space="preserve">Output 6: Mechanism for election observer access to electoral process improved</w:t>
            </w:r>
          </w:p>
        </w:tc>
        <w:tc>
          <w:tcPr>
            <w:tcW w:w="869"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07"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91"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59"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720" w:type="dxa"/>
            <w:gridSpan w:val="2"/>
            <w:vMerge w:val="restart"/>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926"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dbe4f1"/>
            <w:vAlign w:val="top"/>
          </w:tcPr>
          <w:p>
            <w:pPr>
              <w:bidi w:val="0"/>
              <w:spacing w:before="0" w:after="160" w:line="259" w:lineRule="auto"/>
              <w:ind w:left="0" w:right="0" w:firstLine="0"/>
              <w:jc w:val="left"/>
            </w:pPr>
          </w:p>
        </w:tc>
      </w:tr>
      <w:tr>
        <w:trPr>
          <w:trHeight w:val="169" w:hRule="atLeast"/>
        </w:trPr>
        <w:tc>
          <w:tcPr>
            <w:tcW w:w="6422" w:type="dxa"/>
            <w:vMerge w:val="restart"/>
            <w:tcBorders>
              <w:top w:val="nil"/>
              <w:left w:val="single" w:sz="9" w:color="000000"/>
              <w:bottom w:val="nil"/>
              <w:right w:val="single" w:sz="9" w:color="000000"/>
            </w:tcBorders>
            <w:vAlign w:val="top"/>
          </w:tcPr>
          <w:p>
            <w:pPr>
              <w:tabs>
                <w:tab w:val="center" w:pos="470"/>
                <w:tab w:val="center" w:pos="2177"/>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2.6.1.	</w:t>
            </w:r>
            <w:r>
              <w:rPr>
                <w:rFonts w:cs="Calibri" w:hAnsi="Calibri" w:eastAsia="Calibri" w:ascii="Calibri"/>
                <w:sz w:val="12"/>
              </w:rPr>
              <w:t xml:space="preserve">Support the EMBs to develop observer engagement strategies </w:t>
            </w:r>
          </w:p>
          <w:p>
            <w:pPr>
              <w:tabs>
                <w:tab w:val="center" w:pos="470"/>
                <w:tab w:val="center" w:pos="2555"/>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2.6.2.	</w:t>
            </w:r>
            <w:r>
              <w:rPr>
                <w:rFonts w:cs="Calibri" w:hAnsi="Calibri" w:eastAsia="Calibri" w:ascii="Calibri"/>
                <w:sz w:val="12"/>
              </w:rPr>
              <w:t xml:space="preserve">Support EMB planning &amp; implementation of efficient procedures for observers</w:t>
            </w:r>
          </w:p>
          <w:p>
            <w:pPr>
              <w:spacing w:before="0" w:after="2" w:line="300" w:lineRule="auto"/>
              <w:ind w:left="338" w:right="1749" w:firstLine="0"/>
              <w:jc w:val="left"/>
            </w:pPr>
            <w:r>
              <w:rPr>
                <w:rFonts w:cs="Calibri" w:hAnsi="Calibri" w:eastAsia="Calibri" w:ascii="Calibri"/>
                <w:sz w:val="12"/>
              </w:rPr>
              <w:t xml:space="preserve">2.6.3.	</w:t>
            </w:r>
            <w:r>
              <w:rPr>
                <w:rFonts w:cs="Calibri" w:hAnsi="Calibri" w:eastAsia="Calibri" w:ascii="Calibri"/>
                <w:sz w:val="12"/>
              </w:rPr>
              <w:t xml:space="preserve">Facilitate a study lessons learned in relation to election observer engagement </w:t>
            </w:r>
            <w:r>
              <w:rPr>
                <w:rFonts w:cs="Calibri" w:hAnsi="Calibri" w:eastAsia="Calibri" w:ascii="Calibri"/>
                <w:sz w:val="12"/>
              </w:rPr>
              <w:t xml:space="preserve">2.6.4.	</w:t>
            </w:r>
            <w:r>
              <w:rPr>
                <w:rFonts w:cs="Calibri" w:hAnsi="Calibri" w:eastAsia="Calibri" w:ascii="Calibri"/>
                <w:sz w:val="12"/>
              </w:rPr>
              <w:t xml:space="preserve">Long-Term Technical Assistance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tcBorders>
              <w:top w:val="nil"/>
              <w:left w:val="single" w:sz="9" w:color="000000"/>
              <w:bottom w:val="nil"/>
              <w:right w:val="single" w:sz="9" w:color="000000"/>
            </w:tcBorders>
            <w:shd w:val="clear" w:fill="ffffff"/>
            <w:vAlign w:val="top"/>
          </w:tcPr>
          <w:p>
            <w:pPr>
              <w:spacing w:before="0" w:after="0" w:line="259" w:lineRule="auto"/>
              <w:ind w:left="0" w:right="5" w:firstLine="0"/>
              <w:jc w:val="right"/>
            </w:pPr>
            <w:r>
              <w:rPr>
                <w:rFonts w:cs="Calibri" w:hAnsi="Calibri" w:eastAsia="Calibri" w:ascii="Calibri"/>
                <w:sz w:val="12"/>
              </w:rPr>
              <w:t xml:space="preserve">$25,875</w:t>
            </w:r>
          </w:p>
        </w:tc>
        <w:tc>
          <w:tcPr>
            <w:tcW w:w="907" w:type="dxa"/>
            <w:vMerge w:val="restart"/>
            <w:tcBorders>
              <w:top w:val="nil"/>
              <w:left w:val="single" w:sz="9" w:color="000000"/>
              <w:bottom w:val="nil"/>
              <w:right w:val="single" w:sz="9" w:color="000000"/>
            </w:tcBorders>
            <w:vAlign w:val="top"/>
          </w:tcPr>
          <w:p>
            <w:pPr>
              <w:spacing w:before="0" w:after="0" w:line="280" w:lineRule="auto"/>
              <w:ind w:left="434" w:right="0" w:hanging="5"/>
              <w:jc w:val="left"/>
            </w:pPr>
            <w:r>
              <w:rPr>
                <w:rFonts w:cs="Calibri" w:hAnsi="Calibri" w:eastAsia="Calibri" w:ascii="Calibri"/>
                <w:sz w:val="12"/>
              </w:rPr>
              <w:t xml:space="preserve">$150,000 $100,000 $150,000</w:t>
            </w:r>
          </w:p>
          <w:p>
            <w:pPr>
              <w:spacing w:before="0" w:after="26" w:line="259" w:lineRule="auto"/>
              <w:ind w:left="0" w:right="0" w:firstLine="0"/>
              <w:jc w:val="right"/>
            </w:pPr>
            <w:r>
              <w:rPr>
                <w:rFonts w:cs="Calibri" w:hAnsi="Calibri" w:eastAsia="Calibri" w:ascii="Calibri"/>
                <w:sz w:val="12"/>
              </w:rPr>
              <w:t xml:space="preserve">$13,555</w:t>
            </w:r>
          </w:p>
          <w:p>
            <w:pPr>
              <w:spacing w:before="0" w:after="0" w:line="259" w:lineRule="auto"/>
              <w:ind w:left="0" w:right="0" w:firstLine="0"/>
              <w:jc w:val="right"/>
            </w:pPr>
            <w:r>
              <w:rPr>
                <w:rFonts w:cs="Calibri" w:hAnsi="Calibri" w:eastAsia="Calibri" w:ascii="Calibri"/>
                <w:b w:val="1"/>
                <w:sz w:val="12"/>
              </w:rPr>
              <w:t xml:space="preserve">$413,555</w:t>
            </w:r>
          </w:p>
        </w:tc>
        <w:tc>
          <w:tcPr>
            <w:tcW w:w="991" w:type="dxa"/>
            <w:vMerge w:val="restart"/>
            <w:tcBorders>
              <w:top w:val="nil"/>
              <w:left w:val="single" w:sz="9" w:color="000000"/>
              <w:bottom w:val="nil"/>
              <w:right w:val="single" w:sz="9" w:color="000000"/>
            </w:tcBorders>
            <w:vAlign w:val="top"/>
          </w:tcPr>
          <w:p>
            <w:pPr>
              <w:spacing w:before="0" w:after="9" w:line="259" w:lineRule="auto"/>
              <w:ind w:left="0" w:right="5" w:firstLine="0"/>
              <w:jc w:val="right"/>
            </w:pPr>
            <w:r>
              <w:rPr>
                <w:rFonts w:cs="Calibri" w:hAnsi="Calibri" w:eastAsia="Calibri" w:ascii="Calibri"/>
                <w:sz w:val="12"/>
              </w:rPr>
              <w:t xml:space="preserve">$150,000</w:t>
            </w:r>
          </w:p>
          <w:p>
            <w:pPr>
              <w:spacing w:before="0" w:after="16" w:line="259" w:lineRule="auto"/>
              <w:ind w:left="0" w:right="0" w:firstLine="0"/>
              <w:jc w:val="right"/>
            </w:pPr>
            <w:r>
              <w:rPr>
                <w:rFonts w:cs="Calibri" w:hAnsi="Calibri" w:eastAsia="Calibri" w:ascii="Calibri"/>
                <w:sz w:val="12"/>
              </w:rPr>
              <w:t xml:space="preserve">$0</w:t>
            </w:r>
          </w:p>
          <w:p>
            <w:pPr>
              <w:spacing w:before="0" w:after="7" w:line="259" w:lineRule="auto"/>
              <w:ind w:left="0" w:right="0" w:firstLine="0"/>
              <w:jc w:val="right"/>
            </w:pPr>
            <w:r>
              <w:rPr>
                <w:rFonts w:cs="Calibri" w:hAnsi="Calibri" w:eastAsia="Calibri" w:ascii="Calibri"/>
                <w:sz w:val="12"/>
              </w:rPr>
              <w:t xml:space="preserve">$150,000</w:t>
            </w:r>
          </w:p>
          <w:p>
            <w:pPr>
              <w:spacing w:before="0" w:after="26" w:line="259" w:lineRule="auto"/>
              <w:ind w:left="0" w:right="0" w:firstLine="0"/>
              <w:jc w:val="right"/>
            </w:pPr>
            <w:r>
              <w:rPr>
                <w:rFonts w:cs="Calibri" w:hAnsi="Calibri" w:eastAsia="Calibri" w:ascii="Calibri"/>
                <w:sz w:val="12"/>
              </w:rPr>
              <w:t xml:space="preserve">$13,555</w:t>
            </w:r>
          </w:p>
          <w:p>
            <w:pPr>
              <w:spacing w:before="0" w:after="0" w:line="259" w:lineRule="auto"/>
              <w:ind w:left="0" w:right="0" w:firstLine="0"/>
              <w:jc w:val="right"/>
            </w:pPr>
            <w:r>
              <w:rPr>
                <w:rFonts w:cs="Calibri" w:hAnsi="Calibri" w:eastAsia="Calibri" w:ascii="Calibri"/>
                <w:b w:val="1"/>
                <w:sz w:val="12"/>
              </w:rPr>
              <w:t xml:space="preserve">$313,555</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$325,875</w:t>
            </w:r>
          </w:p>
          <w:p>
            <w:pPr>
              <w:spacing w:before="0" w:after="16" w:line="259" w:lineRule="auto"/>
              <w:ind w:left="0" w:right="5" w:firstLine="0"/>
              <w:jc w:val="right"/>
            </w:pPr>
            <w:r>
              <w:rPr>
                <w:rFonts w:cs="Calibri" w:hAnsi="Calibri" w:eastAsia="Calibri" w:ascii="Calibri"/>
                <w:sz w:val="12"/>
              </w:rPr>
              <w:t xml:space="preserve">$180,000</w:t>
            </w:r>
          </w:p>
          <w:p>
            <w:pPr>
              <w:spacing w:before="0" w:after="16" w:line="259" w:lineRule="auto"/>
              <w:ind w:left="0" w:right="5" w:firstLine="0"/>
              <w:jc w:val="right"/>
            </w:pPr>
            <w:r>
              <w:rPr>
                <w:rFonts w:cs="Calibri" w:hAnsi="Calibri" w:eastAsia="Calibri" w:ascii="Calibri"/>
                <w:sz w:val="12"/>
              </w:rPr>
              <w:t xml:space="preserve">$300,000</w:t>
            </w:r>
          </w:p>
          <w:p>
            <w:pPr>
              <w:spacing w:before="0" w:after="26" w:line="259" w:lineRule="auto"/>
              <w:ind w:left="0" w:right="5" w:firstLine="0"/>
              <w:jc w:val="right"/>
            </w:pPr>
            <w:r>
              <w:rPr>
                <w:rFonts w:cs="Calibri" w:hAnsi="Calibri" w:eastAsia="Calibri" w:ascii="Calibri"/>
                <w:sz w:val="12"/>
              </w:rPr>
              <w:t xml:space="preserve">$35,018</w:t>
            </w:r>
          </w:p>
          <w:p>
            <w:pPr>
              <w:spacing w:before="0" w:after="0" w:line="259" w:lineRule="auto"/>
              <w:ind w:left="0" w:right="5" w:firstLine="0"/>
              <w:jc w:val="right"/>
            </w:pPr>
            <w:r>
              <w:rPr>
                <w:rFonts w:cs="Calibri" w:hAnsi="Calibri" w:eastAsia="Calibri" w:ascii="Calibri"/>
                <w:b w:val="1"/>
                <w:sz w:val="12"/>
              </w:rPr>
              <w:t xml:space="preserve">$840,893</w:t>
            </w: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€ 19,536</w:t>
            </w:r>
          </w:p>
          <w:p>
            <w:pPr>
              <w:spacing w:before="0" w:after="16" w:line="259" w:lineRule="auto"/>
              <w:ind w:left="0" w:right="5" w:firstLine="0"/>
              <w:jc w:val="right"/>
            </w:pPr>
            <w:r>
              <w:rPr>
                <w:rFonts w:cs="Calibri" w:hAnsi="Calibri" w:eastAsia="Calibri" w:ascii="Calibri"/>
                <w:sz w:val="12"/>
              </w:rPr>
              <w:t xml:space="preserve">€ 60,400</w:t>
            </w:r>
          </w:p>
          <w:p>
            <w:pPr>
              <w:spacing w:before="0" w:after="16" w:line="259" w:lineRule="auto"/>
              <w:ind w:left="0" w:right="5" w:firstLine="0"/>
              <w:jc w:val="right"/>
            </w:pPr>
            <w:r>
              <w:rPr>
                <w:rFonts w:cs="Calibri" w:hAnsi="Calibri" w:eastAsia="Calibri" w:ascii="Calibri"/>
                <w:sz w:val="12"/>
              </w:rPr>
              <w:t xml:space="preserve">€ 0</w:t>
            </w:r>
          </w:p>
          <w:p>
            <w:pPr>
              <w:spacing w:before="0" w:after="9" w:line="259" w:lineRule="auto"/>
              <w:ind w:left="0" w:right="5" w:firstLine="0"/>
              <w:jc w:val="right"/>
            </w:pPr>
            <w:r>
              <w:rPr>
                <w:rFonts w:cs="Calibri" w:hAnsi="Calibri" w:eastAsia="Calibri" w:ascii="Calibri"/>
                <w:sz w:val="12"/>
              </w:rPr>
              <w:t xml:space="preserve">€ 5,970</w:t>
            </w:r>
          </w:p>
          <w:p>
            <w:pPr>
              <w:spacing w:before="0" w:after="0" w:line="259" w:lineRule="auto"/>
              <w:ind w:left="0" w:right="0" w:firstLine="0"/>
              <w:jc w:val="right"/>
            </w:pPr>
            <w:r>
              <w:rPr>
                <w:rFonts w:cs="Calibri" w:hAnsi="Calibri" w:eastAsia="Calibri" w:ascii="Calibri"/>
                <w:b w:val="1"/>
                <w:sz w:val="12"/>
              </w:rPr>
              <w:t xml:space="preserve">€ 85,906</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€ 113,250</w:t>
            </w:r>
          </w:p>
          <w:p>
            <w:pPr>
              <w:spacing w:before="0" w:after="16" w:line="259" w:lineRule="auto"/>
              <w:ind w:left="0" w:right="5" w:firstLine="0"/>
              <w:jc w:val="right"/>
            </w:pPr>
            <w:r>
              <w:rPr>
                <w:rFonts w:cs="Calibri" w:hAnsi="Calibri" w:eastAsia="Calibri" w:ascii="Calibri"/>
                <w:sz w:val="12"/>
              </w:rPr>
              <w:t xml:space="preserve">€ 75,500</w:t>
            </w:r>
          </w:p>
          <w:p>
            <w:pPr>
              <w:spacing w:before="0" w:after="16" w:line="259" w:lineRule="auto"/>
              <w:ind w:left="0" w:right="5" w:firstLine="0"/>
              <w:jc w:val="right"/>
            </w:pPr>
            <w:r>
              <w:rPr>
                <w:rFonts w:cs="Calibri" w:hAnsi="Calibri" w:eastAsia="Calibri" w:ascii="Calibri"/>
                <w:sz w:val="12"/>
              </w:rPr>
              <w:t xml:space="preserve">€ 113,250</w:t>
            </w:r>
          </w:p>
          <w:p>
            <w:pPr>
              <w:spacing w:before="0" w:after="9" w:line="259" w:lineRule="auto"/>
              <w:ind w:left="0" w:right="5" w:firstLine="0"/>
              <w:jc w:val="right"/>
            </w:pPr>
            <w:r>
              <w:rPr>
                <w:rFonts w:cs="Calibri" w:hAnsi="Calibri" w:eastAsia="Calibri" w:ascii="Calibri"/>
                <w:sz w:val="12"/>
              </w:rPr>
              <w:t xml:space="preserve">€ 10,234</w:t>
            </w:r>
          </w:p>
          <w:p>
            <w:pPr>
              <w:spacing w:before="0" w:after="0" w:line="259" w:lineRule="auto"/>
              <w:ind w:left="0" w:right="0" w:firstLine="0"/>
              <w:jc w:val="right"/>
            </w:pPr>
            <w:r>
              <w:rPr>
                <w:rFonts w:cs="Calibri" w:hAnsi="Calibri" w:eastAsia="Calibri" w:ascii="Calibri"/>
                <w:b w:val="1"/>
                <w:sz w:val="12"/>
              </w:rPr>
              <w:t xml:space="preserve">€ 312,234</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€ 113,250</w:t>
            </w:r>
          </w:p>
          <w:p>
            <w:pPr>
              <w:spacing w:before="0" w:after="16" w:line="259" w:lineRule="auto"/>
              <w:ind w:left="0" w:right="5" w:firstLine="0"/>
              <w:jc w:val="right"/>
            </w:pPr>
            <w:r>
              <w:rPr>
                <w:rFonts w:cs="Calibri" w:hAnsi="Calibri" w:eastAsia="Calibri" w:ascii="Calibri"/>
                <w:sz w:val="12"/>
              </w:rPr>
              <w:t xml:space="preserve">€ 0</w:t>
            </w:r>
          </w:p>
          <w:p>
            <w:pPr>
              <w:spacing w:before="0" w:after="16" w:line="259" w:lineRule="auto"/>
              <w:ind w:left="0" w:right="5" w:firstLine="0"/>
              <w:jc w:val="right"/>
            </w:pPr>
            <w:r>
              <w:rPr>
                <w:rFonts w:cs="Calibri" w:hAnsi="Calibri" w:eastAsia="Calibri" w:ascii="Calibri"/>
                <w:sz w:val="12"/>
              </w:rPr>
              <w:t xml:space="preserve">€ 113,250</w:t>
            </w:r>
          </w:p>
          <w:p>
            <w:pPr>
              <w:spacing w:before="0" w:after="9" w:line="259" w:lineRule="auto"/>
              <w:ind w:left="0" w:right="5" w:firstLine="0"/>
              <w:jc w:val="right"/>
            </w:pPr>
            <w:r>
              <w:rPr>
                <w:rFonts w:cs="Calibri" w:hAnsi="Calibri" w:eastAsia="Calibri" w:ascii="Calibri"/>
                <w:sz w:val="12"/>
              </w:rPr>
              <w:t xml:space="preserve">€ 10,234</w:t>
            </w:r>
          </w:p>
          <w:p>
            <w:pPr>
              <w:spacing w:before="0" w:after="0" w:line="259" w:lineRule="auto"/>
              <w:ind w:left="0" w:right="0" w:firstLine="0"/>
              <w:jc w:val="right"/>
            </w:pPr>
            <w:r>
              <w:rPr>
                <w:rFonts w:cs="Calibri" w:hAnsi="Calibri" w:eastAsia="Calibri" w:ascii="Calibri"/>
                <w:b w:val="1"/>
                <w:sz w:val="12"/>
              </w:rPr>
              <w:t xml:space="preserve">€ 236,734</w:t>
            </w:r>
          </w:p>
        </w:tc>
        <w:tc>
          <w:tcPr>
            <w:tcW w:w="888" w:type="dxa"/>
            <w:vMerge w:val="restart"/>
            <w:tcBorders>
              <w:top w:val="nil"/>
              <w:left w:val="single" w:sz="9" w:color="000000"/>
              <w:bottom w:val="nil"/>
              <w:right w:val="single" w:sz="9" w:color="000000"/>
            </w:tcBorders>
            <w:vAlign w:val="top"/>
          </w:tcPr>
          <w:p>
            <w:pPr>
              <w:spacing w:before="0" w:after="0" w:line="287" w:lineRule="auto"/>
              <w:ind w:left="355" w:right="0" w:firstLine="0"/>
              <w:jc w:val="center"/>
            </w:pPr>
            <w:r>
              <w:rPr>
                <w:rFonts w:cs="Calibri" w:hAnsi="Calibri" w:eastAsia="Calibri" w:ascii="Calibri"/>
                <w:sz w:val="12"/>
              </w:rPr>
              <w:t xml:space="preserve">€ 246,036 € 135,900 € 226,500</w:t>
            </w:r>
          </w:p>
          <w:p>
            <w:pPr>
              <w:spacing w:before="0" w:after="0" w:line="259" w:lineRule="auto"/>
              <w:ind w:left="384" w:right="0" w:firstLine="57"/>
              <w:jc w:val="left"/>
            </w:pPr>
            <w:r>
              <w:rPr>
                <w:rFonts w:cs="Calibri" w:hAnsi="Calibri" w:eastAsia="Calibri" w:ascii="Calibri"/>
                <w:sz w:val="12"/>
              </w:rPr>
              <w:t xml:space="preserve">€ 26,439 </w:t>
            </w:r>
            <w:r>
              <w:rPr>
                <w:rFonts w:cs="Calibri" w:hAnsi="Calibri" w:eastAsia="Calibri" w:ascii="Calibri"/>
                <w:b w:val="1"/>
                <w:sz w:val="12"/>
              </w:rPr>
              <w:t xml:space="preserve">€ 634,874</w:t>
            </w:r>
          </w:p>
        </w:tc>
      </w:tr>
      <w:tr>
        <w:trPr>
          <w:trHeight w:val="512"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869" w:type="dxa"/>
            <w:vMerge w:val="restart"/>
            <w:tcBorders>
              <w:top w:val="nil"/>
              <w:left w:val="single" w:sz="9" w:color="000000"/>
              <w:bottom w:val="nil"/>
              <w:right w:val="single" w:sz="9" w:color="000000"/>
            </w:tcBorders>
            <w:vAlign w:val="top"/>
          </w:tcPr>
          <w:p>
            <w:pPr>
              <w:spacing w:before="0" w:after="16" w:line="259" w:lineRule="auto"/>
              <w:ind w:left="0" w:right="0" w:firstLine="0"/>
              <w:jc w:val="right"/>
            </w:pPr>
            <w:r>
              <w:rPr>
                <w:rFonts w:cs="Calibri" w:hAnsi="Calibri" w:eastAsia="Calibri" w:ascii="Calibri"/>
                <w:sz w:val="12"/>
              </w:rPr>
              <w:t xml:space="preserve">$80,000</w:t>
            </w:r>
          </w:p>
          <w:p>
            <w:pPr>
              <w:spacing w:before="0" w:after="7" w:line="259" w:lineRule="auto"/>
              <w:ind w:left="0" w:right="0" w:firstLine="0"/>
              <w:jc w:val="right"/>
            </w:pPr>
            <w:r>
              <w:rPr>
                <w:rFonts w:cs="Calibri" w:hAnsi="Calibri" w:eastAsia="Calibri" w:ascii="Calibri"/>
                <w:sz w:val="12"/>
              </w:rPr>
              <w:t xml:space="preserve">$0</w:t>
            </w:r>
          </w:p>
          <w:p>
            <w:pPr>
              <w:spacing w:before="0" w:after="0" w:line="259" w:lineRule="auto"/>
              <w:ind w:left="78" w:right="0" w:firstLine="0"/>
              <w:jc w:val="right"/>
            </w:pPr>
            <w:r>
              <w:rPr>
                <w:rFonts w:cs="Calibri" w:hAnsi="Calibri" w:eastAsia="Calibri" w:ascii="Calibri"/>
                <w:sz w:val="12"/>
              </w:rPr>
              <w:t xml:space="preserve">$7,907 </w:t>
            </w:r>
            <w:r>
              <w:rPr>
                <w:rFonts w:cs="Calibri" w:hAnsi="Calibri" w:eastAsia="Calibri" w:ascii="Calibri"/>
                <w:b w:val="1"/>
                <w:sz w:val="12"/>
              </w:rPr>
              <w:t xml:space="preserve">$113,782</w:t>
            </w: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gridSpan w:val="2"/>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2" w:right="0" w:firstLine="0"/>
              <w:jc w:val="left"/>
            </w:pPr>
            <w:r>
              <w:rPr>
                <w:rFonts w:cs="Calibri" w:hAnsi="Calibri" w:eastAsia="Calibri" w:ascii="Calibri"/>
                <w:sz w:val="12"/>
              </w:rPr>
              <w:t xml:space="preserve">5%</w:t>
            </w:r>
          </w:p>
        </w:tc>
        <w:tc>
          <w:tcPr>
            <w:tcW w:w="384" w:type="dxa"/>
            <w:vMerge w:val="restart"/>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203" w:hRule="atLeast"/>
        </w:trPr>
        <w:tc>
          <w:tcPr>
            <w:tcW w:w="6422" w:type="dxa"/>
            <w:tcBorders>
              <w:top w:val="nil"/>
              <w:left w:val="single" w:sz="9" w:color="000000"/>
              <w:bottom w:val="nil"/>
              <w:right w:val="single" w:sz="9" w:color="000000"/>
            </w:tcBorders>
            <w:shd w:val="clear" w:fill="eaf1dd"/>
            <w:vAlign w:val="top"/>
          </w:tcPr>
          <w:p>
            <w:pPr>
              <w:spacing w:before="0" w:after="0" w:line="259" w:lineRule="auto"/>
              <w:ind w:left="37" w:right="0" w:firstLine="0"/>
              <w:jc w:val="left"/>
            </w:pPr>
            <w:r>
              <w:rPr>
                <w:rFonts w:cs="Calibri" w:hAnsi="Calibri" w:eastAsia="Calibri" w:ascii="Calibri"/>
                <w:b w:val="1"/>
                <w:sz w:val="12"/>
              </w:rPr>
              <w:t xml:space="preserve">COMPONENT 3:  SUPPORT INCLUSIVE PARTICIPATION IN POLITICAL AND ELECTORAL PROCESSES</w:t>
            </w:r>
          </w:p>
        </w:tc>
        <w:tc>
          <w:tcPr>
            <w:tcW w:w="86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r>
      <w:tr>
        <w:trPr>
          <w:trHeight w:val="680" w:hRule="atLeast"/>
        </w:trPr>
        <w:tc>
          <w:tcPr>
            <w:tcW w:w="6422" w:type="dxa"/>
            <w:vMerge w:val="restart"/>
            <w:tcBorders>
              <w:top w:val="nil"/>
              <w:left w:val="single" w:sz="9" w:color="000000"/>
              <w:bottom w:val="nil"/>
              <w:right w:val="single" w:sz="9" w:color="000000"/>
            </w:tcBorders>
            <w:vAlign w:val="top"/>
          </w:tcPr>
          <w:p>
            <w:pPr>
              <w:tabs>
                <w:tab w:val="center" w:pos="470"/>
                <w:tab w:val="center" w:pos="2680"/>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3.1.1.	</w:t>
            </w:r>
            <w:r>
              <w:rPr>
                <w:rFonts w:cs="Calibri" w:hAnsi="Calibri" w:eastAsia="Calibri" w:ascii="Calibri"/>
                <w:sz w:val="12"/>
              </w:rPr>
              <w:t xml:space="preserve">Support skills and capacity development for women, youth and PWDs as candidates </w:t>
            </w:r>
          </w:p>
          <w:p>
            <w:pPr>
              <w:tabs>
                <w:tab w:val="center" w:pos="470"/>
                <w:tab w:val="center" w:pos="2484"/>
              </w:tabs>
              <w:spacing w:before="0" w:after="1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3.1.2.	</w:t>
            </w:r>
            <w:r>
              <w:rPr>
                <w:rFonts w:cs="Calibri" w:hAnsi="Calibri" w:eastAsia="Calibri" w:ascii="Calibri"/>
                <w:sz w:val="12"/>
              </w:rPr>
              <w:t xml:space="preserve">Promote public awareness on gender equality and women’s empowerment </w:t>
            </w:r>
          </w:p>
          <w:p>
            <w:pPr>
              <w:spacing w:before="0" w:after="0" w:line="320" w:lineRule="auto"/>
              <w:ind w:left="338" w:right="1353" w:firstLine="0"/>
              <w:jc w:val="left"/>
            </w:pPr>
            <w:r>
              <w:rPr>
                <w:rFonts w:cs="Calibri" w:hAnsi="Calibri" w:eastAsia="Calibri" w:ascii="Calibri"/>
                <w:sz w:val="12"/>
              </w:rPr>
              <w:t xml:space="preserve">3.1.3.	</w:t>
            </w:r>
            <w:r>
              <w:rPr>
                <w:rFonts w:cs="Calibri" w:hAnsi="Calibri" w:eastAsia="Calibri" w:ascii="Calibri"/>
                <w:sz w:val="12"/>
              </w:rPr>
              <w:t xml:space="preserve">Assess the impact of the constitutional/legal framework for elections on participation  </w:t>
            </w:r>
            <w:r>
              <w:rPr>
                <w:rFonts w:cs="Calibri" w:hAnsi="Calibri" w:eastAsia="Calibri" w:ascii="Calibri"/>
                <w:sz w:val="12"/>
              </w:rPr>
              <w:t xml:space="preserve">3.1.4.	</w:t>
            </w:r>
            <w:r>
              <w:rPr>
                <w:rFonts w:cs="Calibri" w:hAnsi="Calibri" w:eastAsia="Calibri" w:ascii="Calibri"/>
                <w:sz w:val="12"/>
              </w:rPr>
              <w:t xml:space="preserve">Long-Term Technical Assistance (LTTA)</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9" w:line="259" w:lineRule="auto"/>
              <w:ind w:left="708" w:right="0" w:firstLine="0"/>
              <w:jc w:val="left"/>
            </w:pPr>
            <w:r>
              <w:rPr>
                <w:rFonts w:cs="Calibri" w:hAnsi="Calibri" w:eastAsia="Calibri" w:ascii="Calibri"/>
                <w:sz w:val="12"/>
              </w:rPr>
              <w:t xml:space="preserve">$0</w:t>
            </w:r>
          </w:p>
          <w:p>
            <w:pPr>
              <w:spacing w:before="0" w:after="14" w:line="259" w:lineRule="auto"/>
              <w:ind w:left="713" w:right="0" w:firstLine="0"/>
              <w:jc w:val="left"/>
            </w:pPr>
            <w:r>
              <w:rPr>
                <w:rFonts w:cs="Calibri" w:hAnsi="Calibri" w:eastAsia="Calibri" w:ascii="Calibri"/>
                <w:sz w:val="12"/>
              </w:rPr>
              <w:t xml:space="preserve">$0</w:t>
            </w:r>
          </w:p>
          <w:p>
            <w:pPr>
              <w:spacing w:before="0" w:after="16" w:line="259" w:lineRule="auto"/>
              <w:ind w:left="708" w:right="0" w:firstLine="0"/>
              <w:jc w:val="left"/>
            </w:pPr>
            <w:r>
              <w:rPr>
                <w:rFonts w:cs="Calibri" w:hAnsi="Calibri" w:eastAsia="Calibri" w:ascii="Calibri"/>
                <w:sz w:val="12"/>
              </w:rPr>
              <w:t xml:space="preserve">$0</w:t>
            </w:r>
          </w:p>
          <w:p>
            <w:pPr>
              <w:spacing w:before="0" w:after="26" w:line="259" w:lineRule="auto"/>
              <w:ind w:left="708" w:right="0" w:firstLine="0"/>
              <w:jc w:val="left"/>
            </w:pPr>
            <w:r>
              <w:rPr>
                <w:rFonts w:cs="Calibri" w:hAnsi="Calibri" w:eastAsia="Calibri" w:ascii="Calibri"/>
                <w:sz w:val="12"/>
              </w:rPr>
              <w:t xml:space="preserve">$0</w:t>
            </w:r>
          </w:p>
          <w:p>
            <w:pPr>
              <w:spacing w:before="0" w:after="0" w:line="259" w:lineRule="auto"/>
              <w:ind w:left="708" w:right="0" w:firstLine="0"/>
              <w:jc w:val="left"/>
            </w:pPr>
            <w:r>
              <w:rPr>
                <w:rFonts w:cs="Calibri" w:hAnsi="Calibri" w:eastAsia="Calibri" w:ascii="Calibri"/>
                <w:b w:val="1"/>
                <w:sz w:val="12"/>
              </w:rPr>
              <w:t xml:space="preserve">$0</w:t>
            </w:r>
          </w:p>
        </w:tc>
        <w:tc>
          <w:tcPr>
            <w:tcW w:w="907" w:type="dxa"/>
            <w:vMerge w:val="restart"/>
            <w:tcBorders>
              <w:top w:val="nil"/>
              <w:left w:val="single" w:sz="9" w:color="000000"/>
              <w:bottom w:val="nil"/>
              <w:right w:val="single" w:sz="9" w:color="000000"/>
            </w:tcBorders>
            <w:vAlign w:val="top"/>
          </w:tcPr>
          <w:p>
            <w:pPr>
              <w:spacing w:before="0" w:after="9" w:line="259" w:lineRule="auto"/>
              <w:ind w:left="0" w:right="5" w:firstLine="0"/>
              <w:jc w:val="right"/>
            </w:pPr>
            <w:r>
              <w:rPr>
                <w:rFonts w:cs="Calibri" w:hAnsi="Calibri" w:eastAsia="Calibri" w:ascii="Calibri"/>
                <w:sz w:val="12"/>
              </w:rPr>
              <w:t xml:space="preserve">$260,000</w:t>
            </w:r>
          </w:p>
          <w:p>
            <w:pPr>
              <w:spacing w:before="0" w:after="14" w:line="259" w:lineRule="auto"/>
              <w:ind w:left="0" w:right="0" w:firstLine="0"/>
              <w:jc w:val="right"/>
            </w:pPr>
            <w:r>
              <w:rPr>
                <w:rFonts w:cs="Calibri" w:hAnsi="Calibri" w:eastAsia="Calibri" w:ascii="Calibri"/>
                <w:sz w:val="12"/>
              </w:rPr>
              <w:t xml:space="preserve">$140,000</w:t>
            </w:r>
          </w:p>
          <w:p>
            <w:pPr>
              <w:spacing w:before="0" w:after="16" w:line="259" w:lineRule="auto"/>
              <w:ind w:left="0" w:right="5" w:firstLine="0"/>
              <w:jc w:val="right"/>
            </w:pPr>
            <w:r>
              <w:rPr>
                <w:rFonts w:cs="Calibri" w:hAnsi="Calibri" w:eastAsia="Calibri" w:ascii="Calibri"/>
                <w:sz w:val="12"/>
              </w:rPr>
              <w:t xml:space="preserve">$95,000</w:t>
            </w:r>
          </w:p>
          <w:p>
            <w:pPr>
              <w:spacing w:before="0" w:after="0" w:line="259" w:lineRule="auto"/>
              <w:ind w:left="0" w:right="5" w:firstLine="0"/>
              <w:jc w:val="right"/>
            </w:pPr>
            <w:r>
              <w:rPr>
                <w:rFonts w:cs="Calibri" w:hAnsi="Calibri" w:eastAsia="Calibri" w:ascii="Calibri"/>
                <w:sz w:val="12"/>
              </w:rPr>
              <w:t xml:space="preserve">$534,755 </w:t>
            </w:r>
            <w:r>
              <w:rPr>
                <w:rFonts w:cs="Calibri" w:hAnsi="Calibri" w:eastAsia="Calibri" w:ascii="Calibri"/>
                <w:b w:val="1"/>
                <w:sz w:val="12"/>
              </w:rPr>
              <w:t xml:space="preserve">$1,029,755</w:t>
            </w:r>
          </w:p>
        </w:tc>
        <w:tc>
          <w:tcPr>
            <w:tcW w:w="991" w:type="dxa"/>
            <w:vMerge w:val="restart"/>
            <w:tcBorders>
              <w:top w:val="nil"/>
              <w:left w:val="single" w:sz="9" w:color="000000"/>
              <w:bottom w:val="nil"/>
              <w:right w:val="single" w:sz="9" w:color="000000"/>
            </w:tcBorders>
            <w:vAlign w:val="top"/>
          </w:tcPr>
          <w:p>
            <w:pPr>
              <w:spacing w:before="0" w:after="9" w:line="259" w:lineRule="auto"/>
              <w:ind w:left="0" w:right="5" w:firstLine="0"/>
              <w:jc w:val="right"/>
            </w:pPr>
            <w:r>
              <w:rPr>
                <w:rFonts w:cs="Calibri" w:hAnsi="Calibri" w:eastAsia="Calibri" w:ascii="Calibri"/>
                <w:sz w:val="12"/>
              </w:rPr>
              <w:t xml:space="preserve">$100,000</w:t>
            </w:r>
          </w:p>
          <w:p>
            <w:pPr>
              <w:spacing w:before="0" w:after="14" w:line="259" w:lineRule="auto"/>
              <w:ind w:left="0" w:right="0" w:firstLine="0"/>
              <w:jc w:val="right"/>
            </w:pPr>
            <w:r>
              <w:rPr>
                <w:rFonts w:cs="Calibri" w:hAnsi="Calibri" w:eastAsia="Calibri" w:ascii="Calibri"/>
                <w:sz w:val="12"/>
              </w:rPr>
              <w:t xml:space="preserve">$70,000</w:t>
            </w:r>
          </w:p>
          <w:p>
            <w:pPr>
              <w:spacing w:before="0" w:after="10" w:line="287" w:lineRule="auto"/>
              <w:ind w:left="397" w:right="5" w:firstLine="0"/>
              <w:jc w:val="right"/>
            </w:pPr>
            <w:r>
              <w:rPr>
                <w:rFonts w:cs="Calibri" w:hAnsi="Calibri" w:eastAsia="Calibri" w:ascii="Calibri"/>
                <w:sz w:val="12"/>
              </w:rPr>
              <w:t xml:space="preserve">$0 $534,755</w:t>
            </w:r>
          </w:p>
          <w:p>
            <w:pPr>
              <w:spacing w:before="0" w:after="0" w:line="259" w:lineRule="auto"/>
              <w:ind w:left="0" w:right="5" w:firstLine="0"/>
              <w:jc w:val="right"/>
            </w:pPr>
            <w:r>
              <w:rPr>
                <w:rFonts w:cs="Calibri" w:hAnsi="Calibri" w:eastAsia="Calibri" w:ascii="Calibri"/>
                <w:b w:val="1"/>
                <w:sz w:val="12"/>
              </w:rPr>
              <w:t xml:space="preserve">$704,755</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$360,000</w:t>
            </w:r>
          </w:p>
          <w:p>
            <w:pPr>
              <w:spacing w:before="0" w:after="16" w:line="259" w:lineRule="auto"/>
              <w:ind w:left="0" w:right="5" w:firstLine="0"/>
              <w:jc w:val="right"/>
            </w:pPr>
            <w:r>
              <w:rPr>
                <w:rFonts w:cs="Calibri" w:hAnsi="Calibri" w:eastAsia="Calibri" w:ascii="Calibri"/>
                <w:sz w:val="12"/>
              </w:rPr>
              <w:t xml:space="preserve">$210,000</w:t>
            </w:r>
          </w:p>
          <w:p>
            <w:pPr>
              <w:spacing w:before="0" w:after="10" w:line="287" w:lineRule="auto"/>
              <w:ind w:left="0" w:right="5" w:firstLine="0"/>
              <w:jc w:val="right"/>
            </w:pPr>
            <w:r>
              <w:rPr>
                <w:rFonts w:cs="Calibri" w:hAnsi="Calibri" w:eastAsia="Calibri" w:ascii="Calibri"/>
                <w:sz w:val="12"/>
              </w:rPr>
              <w:t xml:space="preserve">$95,000 $1,069,509</w:t>
            </w:r>
          </w:p>
          <w:p>
            <w:pPr>
              <w:spacing w:before="0" w:after="0" w:line="259" w:lineRule="auto"/>
              <w:ind w:left="0" w:right="5" w:firstLine="0"/>
              <w:jc w:val="right"/>
            </w:pPr>
            <w:r>
              <w:rPr>
                <w:rFonts w:cs="Calibri" w:hAnsi="Calibri" w:eastAsia="Calibri" w:ascii="Calibri"/>
                <w:b w:val="1"/>
                <w:sz w:val="12"/>
              </w:rPr>
              <w:t xml:space="preserve">$1,734,509</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691" w:right="0" w:firstLine="0"/>
              <w:jc w:val="left"/>
            </w:pPr>
            <w:r>
              <w:rPr>
                <w:rFonts w:cs="Calibri" w:hAnsi="Calibri" w:eastAsia="Calibri" w:ascii="Calibri"/>
                <w:sz w:val="12"/>
              </w:rPr>
              <w:t xml:space="preserve">€ 0</w:t>
            </w:r>
          </w:p>
          <w:p>
            <w:pPr>
              <w:spacing w:before="0" w:after="16" w:line="259" w:lineRule="auto"/>
              <w:ind w:left="691" w:right="0" w:firstLine="0"/>
              <w:jc w:val="left"/>
            </w:pPr>
            <w:r>
              <w:rPr>
                <w:rFonts w:cs="Calibri" w:hAnsi="Calibri" w:eastAsia="Calibri" w:ascii="Calibri"/>
                <w:sz w:val="12"/>
              </w:rPr>
              <w:t xml:space="preserve">€ 0</w:t>
            </w:r>
          </w:p>
          <w:p>
            <w:pPr>
              <w:spacing w:before="0" w:after="16" w:line="259" w:lineRule="auto"/>
              <w:ind w:left="691" w:right="0" w:firstLine="0"/>
              <w:jc w:val="left"/>
            </w:pPr>
            <w:r>
              <w:rPr>
                <w:rFonts w:cs="Calibri" w:hAnsi="Calibri" w:eastAsia="Calibri" w:ascii="Calibri"/>
                <w:sz w:val="12"/>
              </w:rPr>
              <w:t xml:space="preserve">€ 0</w:t>
            </w:r>
          </w:p>
          <w:p>
            <w:pPr>
              <w:spacing w:before="0" w:after="16" w:line="259" w:lineRule="auto"/>
              <w:ind w:left="691" w:right="0" w:firstLine="0"/>
              <w:jc w:val="left"/>
            </w:pPr>
            <w:r>
              <w:rPr>
                <w:rFonts w:cs="Calibri" w:hAnsi="Calibri" w:eastAsia="Calibri" w:ascii="Calibri"/>
                <w:sz w:val="12"/>
              </w:rPr>
              <w:t xml:space="preserve">€ 0</w:t>
            </w:r>
          </w:p>
          <w:p>
            <w:pPr>
              <w:spacing w:before="0" w:after="0" w:line="259" w:lineRule="auto"/>
              <w:ind w:left="691" w:right="0" w:firstLine="0"/>
              <w:jc w:val="left"/>
            </w:pPr>
            <w:r>
              <w:rPr>
                <w:rFonts w:cs="Calibri" w:hAnsi="Calibri" w:eastAsia="Calibri" w:ascii="Calibri"/>
                <w:b w:val="1"/>
                <w:sz w:val="12"/>
              </w:rPr>
              <w:t xml:space="preserve">€ 0</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€ 196,300</w:t>
            </w:r>
          </w:p>
          <w:p>
            <w:pPr>
              <w:spacing w:before="0" w:after="16" w:line="259" w:lineRule="auto"/>
              <w:ind w:left="0" w:right="5" w:firstLine="0"/>
              <w:jc w:val="right"/>
            </w:pPr>
            <w:r>
              <w:rPr>
                <w:rFonts w:cs="Calibri" w:hAnsi="Calibri" w:eastAsia="Calibri" w:ascii="Calibri"/>
                <w:sz w:val="12"/>
              </w:rPr>
              <w:t xml:space="preserve">€ 105,700</w:t>
            </w:r>
          </w:p>
          <w:p>
            <w:pPr>
              <w:spacing w:before="0" w:after="0" w:line="287" w:lineRule="auto"/>
              <w:ind w:left="384" w:right="0" w:firstLine="58"/>
              <w:jc w:val="left"/>
            </w:pPr>
            <w:r>
              <w:rPr>
                <w:rFonts w:cs="Calibri" w:hAnsi="Calibri" w:eastAsia="Calibri" w:ascii="Calibri"/>
                <w:sz w:val="12"/>
              </w:rPr>
              <w:t xml:space="preserve">€ 71,725 € 403,740</w:t>
            </w:r>
          </w:p>
          <w:p>
            <w:pPr>
              <w:spacing w:before="0" w:after="0" w:line="259" w:lineRule="auto"/>
              <w:ind w:left="0" w:right="5" w:firstLine="0"/>
              <w:jc w:val="right"/>
            </w:pPr>
            <w:r>
              <w:rPr>
                <w:rFonts w:cs="Calibri" w:hAnsi="Calibri" w:eastAsia="Calibri" w:ascii="Calibri"/>
                <w:b w:val="1"/>
                <w:sz w:val="12"/>
              </w:rPr>
              <w:t xml:space="preserve">€ 777,465</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€ 75,500</w:t>
            </w:r>
          </w:p>
          <w:p>
            <w:pPr>
              <w:spacing w:before="0" w:after="16" w:line="259" w:lineRule="auto"/>
              <w:ind w:left="0" w:right="5" w:firstLine="0"/>
              <w:jc w:val="right"/>
            </w:pPr>
            <w:r>
              <w:rPr>
                <w:rFonts w:cs="Calibri" w:hAnsi="Calibri" w:eastAsia="Calibri" w:ascii="Calibri"/>
                <w:sz w:val="12"/>
              </w:rPr>
              <w:t xml:space="preserve">€ 52,850</w:t>
            </w:r>
          </w:p>
          <w:p>
            <w:pPr>
              <w:spacing w:before="0" w:after="0" w:line="287" w:lineRule="auto"/>
              <w:ind w:left="422" w:right="5" w:firstLine="0"/>
              <w:jc w:val="right"/>
            </w:pPr>
            <w:r>
              <w:rPr>
                <w:rFonts w:cs="Calibri" w:hAnsi="Calibri" w:eastAsia="Calibri" w:ascii="Calibri"/>
                <w:sz w:val="12"/>
              </w:rPr>
              <w:t xml:space="preserve">€ 0 € 403,740</w:t>
            </w:r>
          </w:p>
          <w:p>
            <w:pPr>
              <w:spacing w:before="0" w:after="0" w:line="259" w:lineRule="auto"/>
              <w:ind w:left="0" w:right="5" w:firstLine="0"/>
              <w:jc w:val="right"/>
            </w:pPr>
            <w:r>
              <w:rPr>
                <w:rFonts w:cs="Calibri" w:hAnsi="Calibri" w:eastAsia="Calibri" w:ascii="Calibri"/>
                <w:b w:val="1"/>
                <w:sz w:val="12"/>
              </w:rPr>
              <w:t xml:space="preserve">€ 532,090</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€ 271,800</w:t>
            </w:r>
          </w:p>
          <w:p>
            <w:pPr>
              <w:spacing w:before="0" w:after="16" w:line="259" w:lineRule="auto"/>
              <w:ind w:left="0" w:right="5" w:firstLine="0"/>
              <w:jc w:val="right"/>
            </w:pPr>
            <w:r>
              <w:rPr>
                <w:rFonts w:cs="Calibri" w:hAnsi="Calibri" w:eastAsia="Calibri" w:ascii="Calibri"/>
                <w:sz w:val="12"/>
              </w:rPr>
              <w:t xml:space="preserve">€ 158,550</w:t>
            </w:r>
          </w:p>
          <w:p>
            <w:pPr>
              <w:spacing w:before="0" w:after="16" w:line="259" w:lineRule="auto"/>
              <w:ind w:left="0" w:right="5" w:firstLine="0"/>
              <w:jc w:val="right"/>
            </w:pPr>
            <w:r>
              <w:rPr>
                <w:rFonts w:cs="Calibri" w:hAnsi="Calibri" w:eastAsia="Calibri" w:ascii="Calibri"/>
                <w:sz w:val="12"/>
              </w:rPr>
              <w:t xml:space="preserve">€ 71,725</w:t>
            </w:r>
          </w:p>
          <w:p>
            <w:pPr>
              <w:spacing w:before="0" w:after="0" w:line="259" w:lineRule="auto"/>
              <w:ind w:left="297" w:right="5" w:firstLine="0"/>
              <w:jc w:val="right"/>
            </w:pPr>
            <w:r>
              <w:rPr>
                <w:rFonts w:cs="Calibri" w:hAnsi="Calibri" w:eastAsia="Calibri" w:ascii="Calibri"/>
                <w:sz w:val="12"/>
              </w:rPr>
              <w:t xml:space="preserve">€ 807,480 </w:t>
            </w:r>
            <w:r>
              <w:rPr>
                <w:rFonts w:cs="Calibri" w:hAnsi="Calibri" w:eastAsia="Calibri" w:ascii="Calibri"/>
                <w:b w:val="1"/>
                <w:sz w:val="12"/>
              </w:rPr>
              <w:t xml:space="preserve">€ 1,309,555</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2" w:right="0" w:firstLine="0"/>
              <w:jc w:val="left"/>
            </w:pPr>
            <w:r>
              <w:rPr>
                <w:rFonts w:cs="Calibri" w:hAnsi="Calibri" w:eastAsia="Calibri" w:ascii="Calibri"/>
                <w:sz w:val="12"/>
              </w:rPr>
              <w:t xml:space="preserve">9%</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203" w:hRule="atLeast"/>
        </w:trPr>
        <w:tc>
          <w:tcPr>
            <w:tcW w:w="6422" w:type="dxa"/>
            <w:tcBorders>
              <w:top w:val="nil"/>
              <w:left w:val="single" w:sz="9" w:color="000000"/>
              <w:bottom w:val="nil"/>
              <w:right w:val="single" w:sz="9" w:color="000000"/>
            </w:tcBorders>
            <w:shd w:val="clear" w:fill="eaf1dd"/>
            <w:vAlign w:val="top"/>
          </w:tcPr>
          <w:p>
            <w:pPr>
              <w:spacing w:before="0" w:after="0" w:line="259" w:lineRule="auto"/>
              <w:ind w:left="0" w:right="0" w:firstLine="0"/>
              <w:jc w:val="left"/>
            </w:pPr>
            <w:r>
              <w:rPr>
                <w:rFonts w:cs="Calibri" w:hAnsi="Calibri" w:eastAsia="Calibri" w:ascii="Calibri"/>
                <w:b w:val="1"/>
                <w:sz w:val="12"/>
              </w:rPr>
              <w:t xml:space="preserve"> COMPONENT 4:  SUPPORT NATIONAL PEACE INFRASTRUCTURE TO MITIGATE AND RESOLVE ELECTION-RELATED CONFLICTS </w:t>
            </w:r>
          </w:p>
        </w:tc>
        <w:tc>
          <w:tcPr>
            <w:tcW w:w="86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07"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91"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59"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26"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nil"/>
              <w:left w:val="single" w:sz="9" w:color="000000"/>
              <w:bottom w:val="nil"/>
              <w:right w:val="single" w:sz="9" w:color="000000"/>
            </w:tcBorders>
            <w:shd w:val="clear" w:fill="eaf1dd"/>
            <w:vAlign w:val="top"/>
          </w:tcPr>
          <w:p>
            <w:pPr>
              <w:bidi w:val="0"/>
              <w:spacing w:before="0" w:after="160" w:line="259" w:lineRule="auto"/>
              <w:ind w:left="0" w:right="0" w:firstLine="0"/>
              <w:jc w:val="left"/>
            </w:pPr>
          </w:p>
        </w:tc>
      </w:tr>
      <w:tr>
        <w:trPr>
          <w:trHeight w:val="848" w:hRule="atLeast"/>
        </w:trPr>
        <w:tc>
          <w:tcPr>
            <w:tcW w:w="6422" w:type="dxa"/>
            <w:vMerge w:val="restart"/>
            <w:tcBorders>
              <w:top w:val="nil"/>
              <w:left w:val="single" w:sz="9" w:color="000000"/>
              <w:bottom w:val="nil"/>
              <w:right w:val="single" w:sz="9" w:color="000000"/>
            </w:tcBorders>
            <w:vAlign w:val="top"/>
          </w:tcPr>
          <w:p>
            <w:pPr>
              <w:tabs>
                <w:tab w:val="center" w:pos="470"/>
                <w:tab w:val="center" w:pos="2701"/>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4.1.1.	</w:t>
            </w:r>
            <w:r>
              <w:rPr>
                <w:rFonts w:cs="Calibri" w:hAnsi="Calibri" w:eastAsia="Calibri" w:ascii="Calibri"/>
                <w:sz w:val="12"/>
              </w:rPr>
              <w:t xml:space="preserve">Technical support for the TFP to procure equipment for rapid response management </w:t>
            </w:r>
          </w:p>
          <w:p>
            <w:pPr>
              <w:tabs>
                <w:tab w:val="center" w:pos="470"/>
                <w:tab w:val="center" w:pos="2510"/>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4.1.2.	</w:t>
            </w:r>
            <w:r>
              <w:rPr>
                <w:rFonts w:cs="Calibri" w:hAnsi="Calibri" w:eastAsia="Calibri" w:ascii="Calibri"/>
                <w:sz w:val="12"/>
              </w:rPr>
              <w:t xml:space="preserve">Regional inter-stakeholder dialogue to improve the democratic environment</w:t>
            </w:r>
          </w:p>
          <w:p>
            <w:pPr>
              <w:tabs>
                <w:tab w:val="center" w:pos="470"/>
                <w:tab w:val="center" w:pos="2706"/>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4.1.3.	</w:t>
            </w:r>
            <w:r>
              <w:rPr>
                <w:rFonts w:cs="Calibri" w:hAnsi="Calibri" w:eastAsia="Calibri" w:ascii="Calibri"/>
                <w:sz w:val="12"/>
              </w:rPr>
              <w:t xml:space="preserve">Human rights &amp; gender awareness TOT training to the Police on mainland &amp; Zanzibar                          </w:t>
            </w:r>
          </w:p>
          <w:p>
            <w:pPr>
              <w:tabs>
                <w:tab w:val="center" w:pos="470"/>
                <w:tab w:val="center" w:pos="2538"/>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4.1.4.	</w:t>
            </w:r>
            <w:r>
              <w:rPr>
                <w:rFonts w:cs="Calibri" w:hAnsi="Calibri" w:eastAsia="Calibri" w:ascii="Calibri"/>
                <w:sz w:val="12"/>
              </w:rPr>
              <w:t xml:space="preserve">Confidence-building dialog between Police/EMB, Police/Political Parties/CSOs</w:t>
            </w:r>
          </w:p>
          <w:p>
            <w:pPr>
              <w:tabs>
                <w:tab w:val="center" w:pos="470"/>
                <w:tab w:val="center" w:pos="2629"/>
              </w:tabs>
              <w:spacing w:before="0" w:after="26"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4.1.5.	</w:t>
            </w:r>
            <w:r>
              <w:rPr>
                <w:rFonts w:cs="Calibri" w:hAnsi="Calibri" w:eastAsia="Calibri" w:ascii="Calibri"/>
                <w:sz w:val="12"/>
              </w:rPr>
              <w:t xml:space="preserve">Technical assistance for conflict prevention approaches and GBV in conflict (LTTA)</w:t>
            </w:r>
          </w:p>
          <w:p>
            <w:pPr>
              <w:spacing w:before="0" w:after="0" w:line="259" w:lineRule="auto"/>
              <w:ind w:left="0" w:right="42"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$85,220</w:t>
            </w:r>
          </w:p>
          <w:p>
            <w:pPr>
              <w:spacing w:before="0" w:after="16" w:line="259" w:lineRule="auto"/>
              <w:ind w:left="0" w:right="5" w:firstLine="0"/>
              <w:jc w:val="right"/>
            </w:pPr>
            <w:r>
              <w:rPr>
                <w:rFonts w:cs="Calibri" w:hAnsi="Calibri" w:eastAsia="Calibri" w:ascii="Calibri"/>
                <w:sz w:val="12"/>
              </w:rPr>
              <w:t xml:space="preserve">$0</w:t>
            </w:r>
          </w:p>
          <w:p>
            <w:pPr>
              <w:spacing w:before="0" w:after="0" w:line="287" w:lineRule="auto"/>
              <w:ind w:left="390" w:right="0" w:firstLine="58"/>
              <w:jc w:val="left"/>
            </w:pPr>
            <w:r>
              <w:rPr>
                <w:rFonts w:cs="Calibri" w:hAnsi="Calibri" w:eastAsia="Calibri" w:ascii="Calibri"/>
                <w:sz w:val="12"/>
              </w:rPr>
              <w:t xml:space="preserve">$80,000 $120,000</w:t>
            </w:r>
          </w:p>
          <w:p>
            <w:pPr>
              <w:spacing w:before="0" w:after="26" w:line="259" w:lineRule="auto"/>
              <w:ind w:left="0" w:right="6" w:firstLine="0"/>
              <w:jc w:val="right"/>
            </w:pPr>
            <w:r>
              <w:rPr>
                <w:rFonts w:cs="Calibri" w:hAnsi="Calibri" w:eastAsia="Calibri" w:ascii="Calibri"/>
                <w:sz w:val="12"/>
              </w:rPr>
              <w:t xml:space="preserve">$330,621</w:t>
            </w:r>
          </w:p>
          <w:p>
            <w:pPr>
              <w:spacing w:before="0" w:after="0" w:line="259" w:lineRule="auto"/>
              <w:ind w:left="0" w:right="6" w:firstLine="0"/>
              <w:jc w:val="right"/>
            </w:pPr>
            <w:r>
              <w:rPr>
                <w:rFonts w:cs="Calibri" w:hAnsi="Calibri" w:eastAsia="Calibri" w:ascii="Calibri"/>
                <w:b w:val="1"/>
                <w:sz w:val="12"/>
              </w:rPr>
              <w:t xml:space="preserve">$615,841</w:t>
            </w:r>
          </w:p>
        </w:tc>
        <w:tc>
          <w:tcPr>
            <w:tcW w:w="907"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$150,000</w:t>
            </w:r>
          </w:p>
          <w:p>
            <w:pPr>
              <w:spacing w:before="0" w:after="16" w:line="259" w:lineRule="auto"/>
              <w:ind w:left="0" w:right="5" w:firstLine="0"/>
              <w:jc w:val="right"/>
            </w:pPr>
            <w:r>
              <w:rPr>
                <w:rFonts w:cs="Calibri" w:hAnsi="Calibri" w:eastAsia="Calibri" w:ascii="Calibri"/>
                <w:sz w:val="12"/>
              </w:rPr>
              <w:t xml:space="preserve">$250,000</w:t>
            </w:r>
          </w:p>
          <w:p>
            <w:pPr>
              <w:spacing w:before="0" w:after="16" w:line="259" w:lineRule="auto"/>
              <w:ind w:left="0" w:right="5" w:firstLine="0"/>
              <w:jc w:val="right"/>
            </w:pPr>
            <w:r>
              <w:rPr>
                <w:rFonts w:cs="Calibri" w:hAnsi="Calibri" w:eastAsia="Calibri" w:ascii="Calibri"/>
                <w:sz w:val="12"/>
              </w:rPr>
              <w:t xml:space="preserve">$150,000</w:t>
            </w:r>
          </w:p>
          <w:p>
            <w:pPr>
              <w:spacing w:before="0" w:after="16" w:line="259" w:lineRule="auto"/>
              <w:ind w:left="0" w:right="6" w:firstLine="0"/>
              <w:jc w:val="right"/>
            </w:pPr>
            <w:r>
              <w:rPr>
                <w:rFonts w:cs="Calibri" w:hAnsi="Calibri" w:eastAsia="Calibri" w:ascii="Calibri"/>
                <w:sz w:val="12"/>
              </w:rPr>
              <w:t xml:space="preserve">$170,000</w:t>
            </w:r>
          </w:p>
          <w:p>
            <w:pPr>
              <w:spacing w:before="0" w:after="0" w:line="259" w:lineRule="auto"/>
              <w:ind w:left="0" w:right="6" w:firstLine="0"/>
              <w:jc w:val="right"/>
            </w:pPr>
            <w:r>
              <w:rPr>
                <w:rFonts w:cs="Calibri" w:hAnsi="Calibri" w:eastAsia="Calibri" w:ascii="Calibri"/>
                <w:sz w:val="12"/>
              </w:rPr>
              <w:t xml:space="preserve">$588,976 </w:t>
            </w:r>
            <w:r>
              <w:rPr>
                <w:rFonts w:cs="Calibri" w:hAnsi="Calibri" w:eastAsia="Calibri" w:ascii="Calibri"/>
                <w:b w:val="1"/>
                <w:sz w:val="12"/>
              </w:rPr>
              <w:t xml:space="preserve">$1,308,976</w:t>
            </w:r>
          </w:p>
        </w:tc>
        <w:tc>
          <w:tcPr>
            <w:tcW w:w="991" w:type="dxa"/>
            <w:vMerge w:val="restart"/>
            <w:tcBorders>
              <w:top w:val="nil"/>
              <w:left w:val="single" w:sz="9" w:color="000000"/>
              <w:bottom w:val="nil"/>
              <w:right w:val="single" w:sz="9" w:color="000000"/>
            </w:tcBorders>
            <w:vAlign w:val="top"/>
          </w:tcPr>
          <w:p>
            <w:pPr>
              <w:spacing w:before="0" w:after="0" w:line="287" w:lineRule="auto"/>
              <w:ind w:left="397" w:right="5" w:firstLine="0"/>
              <w:jc w:val="right"/>
            </w:pPr>
            <w:r>
              <w:rPr>
                <w:rFonts w:cs="Calibri" w:hAnsi="Calibri" w:eastAsia="Calibri" w:ascii="Calibri"/>
                <w:sz w:val="12"/>
              </w:rPr>
              <w:t xml:space="preserve">$0 $250,000</w:t>
            </w:r>
          </w:p>
          <w:p>
            <w:pPr>
              <w:spacing w:before="0" w:after="16" w:line="259" w:lineRule="auto"/>
              <w:ind w:left="0" w:right="5" w:firstLine="0"/>
              <w:jc w:val="right"/>
            </w:pPr>
            <w:r>
              <w:rPr>
                <w:rFonts w:cs="Calibri" w:hAnsi="Calibri" w:eastAsia="Calibri" w:ascii="Calibri"/>
                <w:sz w:val="12"/>
              </w:rPr>
              <w:t xml:space="preserve">$150,000</w:t>
            </w:r>
          </w:p>
          <w:p>
            <w:pPr>
              <w:spacing w:before="0" w:after="16" w:line="259" w:lineRule="auto"/>
              <w:ind w:left="0" w:right="6" w:firstLine="0"/>
              <w:jc w:val="right"/>
            </w:pPr>
            <w:r>
              <w:rPr>
                <w:rFonts w:cs="Calibri" w:hAnsi="Calibri" w:eastAsia="Calibri" w:ascii="Calibri"/>
                <w:sz w:val="12"/>
              </w:rPr>
              <w:t xml:space="preserve">$150,000</w:t>
            </w:r>
          </w:p>
          <w:p>
            <w:pPr>
              <w:spacing w:before="0" w:after="0" w:line="259" w:lineRule="auto"/>
              <w:ind w:left="0" w:right="6" w:firstLine="0"/>
              <w:jc w:val="right"/>
            </w:pPr>
            <w:r>
              <w:rPr>
                <w:rFonts w:cs="Calibri" w:hAnsi="Calibri" w:eastAsia="Calibri" w:ascii="Calibri"/>
                <w:sz w:val="12"/>
              </w:rPr>
              <w:t xml:space="preserve">$588,976 </w:t>
            </w:r>
            <w:r>
              <w:rPr>
                <w:rFonts w:cs="Calibri" w:hAnsi="Calibri" w:eastAsia="Calibri" w:ascii="Calibri"/>
                <w:b w:val="1"/>
                <w:sz w:val="12"/>
              </w:rPr>
              <w:t xml:space="preserve">$1,138,976</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$235,220</w:t>
            </w:r>
          </w:p>
          <w:p>
            <w:pPr>
              <w:spacing w:before="0" w:after="16" w:line="259" w:lineRule="auto"/>
              <w:ind w:left="0" w:right="5" w:firstLine="0"/>
              <w:jc w:val="right"/>
            </w:pPr>
            <w:r>
              <w:rPr>
                <w:rFonts w:cs="Calibri" w:hAnsi="Calibri" w:eastAsia="Calibri" w:ascii="Calibri"/>
                <w:sz w:val="12"/>
              </w:rPr>
              <w:t xml:space="preserve">$500,000</w:t>
            </w:r>
          </w:p>
          <w:p>
            <w:pPr>
              <w:spacing w:before="0" w:after="16" w:line="259" w:lineRule="auto"/>
              <w:ind w:left="0" w:right="5" w:firstLine="0"/>
              <w:jc w:val="right"/>
            </w:pPr>
            <w:r>
              <w:rPr>
                <w:rFonts w:cs="Calibri" w:hAnsi="Calibri" w:eastAsia="Calibri" w:ascii="Calibri"/>
                <w:sz w:val="12"/>
              </w:rPr>
              <w:t xml:space="preserve">$380,000</w:t>
            </w:r>
          </w:p>
          <w:p>
            <w:pPr>
              <w:spacing w:before="0" w:after="10" w:line="287" w:lineRule="auto"/>
              <w:ind w:left="0" w:right="6" w:firstLine="0"/>
              <w:jc w:val="right"/>
            </w:pPr>
            <w:r>
              <w:rPr>
                <w:rFonts w:cs="Calibri" w:hAnsi="Calibri" w:eastAsia="Calibri" w:ascii="Calibri"/>
                <w:sz w:val="12"/>
              </w:rPr>
              <w:t xml:space="preserve">$440,000 $1,508,573</w:t>
            </w:r>
          </w:p>
          <w:p>
            <w:pPr>
              <w:spacing w:before="0" w:after="0" w:line="259" w:lineRule="auto"/>
              <w:ind w:left="0" w:right="6" w:firstLine="0"/>
              <w:jc w:val="right"/>
            </w:pPr>
            <w:r>
              <w:rPr>
                <w:rFonts w:cs="Calibri" w:hAnsi="Calibri" w:eastAsia="Calibri" w:ascii="Calibri"/>
                <w:b w:val="1"/>
                <w:sz w:val="12"/>
              </w:rPr>
              <w:t xml:space="preserve">$3,063,793</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€ 64,341</w:t>
            </w:r>
          </w:p>
          <w:p>
            <w:pPr>
              <w:spacing w:before="0" w:after="0" w:line="287" w:lineRule="auto"/>
              <w:ind w:left="431" w:right="5" w:firstLine="0"/>
              <w:jc w:val="right"/>
            </w:pPr>
            <w:r>
              <w:rPr>
                <w:rFonts w:cs="Calibri" w:hAnsi="Calibri" w:eastAsia="Calibri" w:ascii="Calibri"/>
                <w:sz w:val="12"/>
              </w:rPr>
              <w:t xml:space="preserve">€ 0 € 60,400</w:t>
            </w:r>
          </w:p>
          <w:p>
            <w:pPr>
              <w:spacing w:before="0" w:after="10" w:line="287" w:lineRule="auto"/>
              <w:ind w:left="373" w:right="0" w:firstLine="58"/>
              <w:jc w:val="left"/>
            </w:pPr>
            <w:r>
              <w:rPr>
                <w:rFonts w:cs="Calibri" w:hAnsi="Calibri" w:eastAsia="Calibri" w:ascii="Calibri"/>
                <w:sz w:val="12"/>
              </w:rPr>
              <w:t xml:space="preserve">€ 90,600 € 249,619</w:t>
            </w:r>
          </w:p>
          <w:p>
            <w:pPr>
              <w:spacing w:before="0" w:after="0" w:line="259" w:lineRule="auto"/>
              <w:ind w:left="0" w:right="6" w:firstLine="0"/>
              <w:jc w:val="right"/>
            </w:pPr>
            <w:r>
              <w:rPr>
                <w:rFonts w:cs="Calibri" w:hAnsi="Calibri" w:eastAsia="Calibri" w:ascii="Calibri"/>
                <w:b w:val="1"/>
                <w:sz w:val="12"/>
              </w:rPr>
              <w:t xml:space="preserve">€ 464,960</w:t>
            </w:r>
          </w:p>
        </w:tc>
        <w:tc>
          <w:tcPr>
            <w:tcW w:w="888" w:type="dxa"/>
            <w:vMerge w:val="restart"/>
            <w:tcBorders>
              <w:top w:val="nil"/>
              <w:left w:val="single" w:sz="9" w:color="000000"/>
              <w:bottom w:val="nil"/>
              <w:right w:val="single" w:sz="9" w:color="000000"/>
            </w:tcBorders>
            <w:vAlign w:val="top"/>
          </w:tcPr>
          <w:p>
            <w:pPr>
              <w:spacing w:before="0" w:after="16" w:line="259" w:lineRule="auto"/>
              <w:ind w:left="383" w:right="0" w:firstLine="0"/>
              <w:jc w:val="left"/>
            </w:pPr>
            <w:r>
              <w:rPr>
                <w:rFonts w:cs="Calibri" w:hAnsi="Calibri" w:eastAsia="Calibri" w:ascii="Calibri"/>
                <w:sz w:val="12"/>
              </w:rPr>
              <w:t xml:space="preserve">€ 113,250</w:t>
            </w:r>
          </w:p>
          <w:p>
            <w:pPr>
              <w:spacing w:before="0" w:after="16" w:line="259" w:lineRule="auto"/>
              <w:ind w:left="383" w:right="0" w:firstLine="0"/>
              <w:jc w:val="left"/>
            </w:pPr>
            <w:r>
              <w:rPr>
                <w:rFonts w:cs="Calibri" w:hAnsi="Calibri" w:eastAsia="Calibri" w:ascii="Calibri"/>
                <w:sz w:val="12"/>
              </w:rPr>
              <w:t xml:space="preserve">€ 188,750</w:t>
            </w:r>
          </w:p>
          <w:p>
            <w:pPr>
              <w:spacing w:before="0" w:after="16" w:line="259" w:lineRule="auto"/>
              <w:ind w:left="383" w:right="0" w:firstLine="0"/>
              <w:jc w:val="left"/>
            </w:pPr>
            <w:r>
              <w:rPr>
                <w:rFonts w:cs="Calibri" w:hAnsi="Calibri" w:eastAsia="Calibri" w:ascii="Calibri"/>
                <w:sz w:val="12"/>
              </w:rPr>
              <w:t xml:space="preserve">€ 113,250</w:t>
            </w:r>
          </w:p>
          <w:p>
            <w:pPr>
              <w:spacing w:before="0" w:after="16" w:line="259" w:lineRule="auto"/>
              <w:ind w:left="383" w:right="0" w:firstLine="0"/>
              <w:jc w:val="left"/>
            </w:pPr>
            <w:r>
              <w:rPr>
                <w:rFonts w:cs="Calibri" w:hAnsi="Calibri" w:eastAsia="Calibri" w:ascii="Calibri"/>
                <w:sz w:val="12"/>
              </w:rPr>
              <w:t xml:space="preserve">€ 128,350</w:t>
            </w:r>
          </w:p>
          <w:p>
            <w:pPr>
              <w:spacing w:before="0" w:after="26" w:line="259" w:lineRule="auto"/>
              <w:ind w:left="383" w:right="0" w:firstLine="0"/>
              <w:jc w:val="left"/>
            </w:pPr>
            <w:r>
              <w:rPr>
                <w:rFonts w:cs="Calibri" w:hAnsi="Calibri" w:eastAsia="Calibri" w:ascii="Calibri"/>
                <w:sz w:val="12"/>
              </w:rPr>
              <w:t xml:space="preserve">€ 444,677</w:t>
            </w:r>
          </w:p>
          <w:p>
            <w:pPr>
              <w:spacing w:before="0" w:after="0" w:line="259" w:lineRule="auto"/>
              <w:ind w:left="383" w:right="0" w:firstLine="0"/>
              <w:jc w:val="left"/>
            </w:pPr>
            <w:r>
              <w:rPr>
                <w:rFonts w:cs="Calibri" w:hAnsi="Calibri" w:eastAsia="Calibri" w:ascii="Calibri"/>
                <w:b w:val="1"/>
                <w:sz w:val="12"/>
              </w:rPr>
              <w:t xml:space="preserve">€ 988,277</w:t>
            </w:r>
          </w:p>
        </w:tc>
        <w:tc>
          <w:tcPr>
            <w:tcW w:w="926" w:type="dxa"/>
            <w:vMerge w:val="restart"/>
            <w:tcBorders>
              <w:top w:val="nil"/>
              <w:left w:val="single" w:sz="9" w:color="000000"/>
              <w:bottom w:val="nil"/>
              <w:right w:val="single" w:sz="9" w:color="000000"/>
            </w:tcBorders>
            <w:vAlign w:val="top"/>
          </w:tcPr>
          <w:p>
            <w:pPr>
              <w:spacing w:before="0" w:after="0" w:line="287" w:lineRule="auto"/>
              <w:ind w:left="422" w:right="5" w:firstLine="0"/>
              <w:jc w:val="right"/>
            </w:pPr>
            <w:r>
              <w:rPr>
                <w:rFonts w:cs="Calibri" w:hAnsi="Calibri" w:eastAsia="Calibri" w:ascii="Calibri"/>
                <w:sz w:val="12"/>
              </w:rPr>
              <w:t xml:space="preserve">€ 0 € 188,750</w:t>
            </w:r>
          </w:p>
          <w:p>
            <w:pPr>
              <w:spacing w:before="0" w:after="16" w:line="259" w:lineRule="auto"/>
              <w:ind w:left="422" w:right="0" w:firstLine="0"/>
              <w:jc w:val="left"/>
            </w:pPr>
            <w:r>
              <w:rPr>
                <w:rFonts w:cs="Calibri" w:hAnsi="Calibri" w:eastAsia="Calibri" w:ascii="Calibri"/>
                <w:sz w:val="12"/>
              </w:rPr>
              <w:t xml:space="preserve">€ 113,250</w:t>
            </w:r>
          </w:p>
          <w:p>
            <w:pPr>
              <w:spacing w:before="0" w:after="16" w:line="259" w:lineRule="auto"/>
              <w:ind w:left="422" w:right="0" w:firstLine="0"/>
              <w:jc w:val="left"/>
            </w:pPr>
            <w:r>
              <w:rPr>
                <w:rFonts w:cs="Calibri" w:hAnsi="Calibri" w:eastAsia="Calibri" w:ascii="Calibri"/>
                <w:sz w:val="12"/>
              </w:rPr>
              <w:t xml:space="preserve">€ 113,250</w:t>
            </w:r>
          </w:p>
          <w:p>
            <w:pPr>
              <w:spacing w:before="0" w:after="26" w:line="259" w:lineRule="auto"/>
              <w:ind w:left="421" w:right="0" w:firstLine="0"/>
              <w:jc w:val="left"/>
            </w:pPr>
            <w:r>
              <w:rPr>
                <w:rFonts w:cs="Calibri" w:hAnsi="Calibri" w:eastAsia="Calibri" w:ascii="Calibri"/>
                <w:sz w:val="12"/>
              </w:rPr>
              <w:t xml:space="preserve">€ 444,677</w:t>
            </w:r>
          </w:p>
          <w:p>
            <w:pPr>
              <w:spacing w:before="0" w:after="0" w:line="259" w:lineRule="auto"/>
              <w:ind w:left="421" w:right="0" w:firstLine="0"/>
              <w:jc w:val="left"/>
            </w:pPr>
            <w:r>
              <w:rPr>
                <w:rFonts w:cs="Calibri" w:hAnsi="Calibri" w:eastAsia="Calibri" w:ascii="Calibri"/>
                <w:b w:val="1"/>
                <w:sz w:val="12"/>
              </w:rPr>
              <w:t xml:space="preserve">€ 859,927</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€ 177,591</w:t>
            </w:r>
          </w:p>
          <w:p>
            <w:pPr>
              <w:spacing w:before="0" w:after="16" w:line="259" w:lineRule="auto"/>
              <w:ind w:left="0" w:right="5" w:firstLine="0"/>
              <w:jc w:val="right"/>
            </w:pPr>
            <w:r>
              <w:rPr>
                <w:rFonts w:cs="Calibri" w:hAnsi="Calibri" w:eastAsia="Calibri" w:ascii="Calibri"/>
                <w:sz w:val="12"/>
              </w:rPr>
              <w:t xml:space="preserve">€ 377,500</w:t>
            </w:r>
          </w:p>
          <w:p>
            <w:pPr>
              <w:spacing w:before="0" w:after="16" w:line="259" w:lineRule="auto"/>
              <w:ind w:left="0" w:right="6" w:firstLine="0"/>
              <w:jc w:val="right"/>
            </w:pPr>
            <w:r>
              <w:rPr>
                <w:rFonts w:cs="Calibri" w:hAnsi="Calibri" w:eastAsia="Calibri" w:ascii="Calibri"/>
                <w:sz w:val="12"/>
              </w:rPr>
              <w:t xml:space="preserve">€ 286,900</w:t>
            </w:r>
          </w:p>
          <w:p>
            <w:pPr>
              <w:spacing w:before="0" w:after="10" w:line="287" w:lineRule="auto"/>
              <w:ind w:left="297" w:right="6" w:firstLine="0"/>
              <w:jc w:val="right"/>
            </w:pPr>
            <w:r>
              <w:rPr>
                <w:rFonts w:cs="Calibri" w:hAnsi="Calibri" w:eastAsia="Calibri" w:ascii="Calibri"/>
                <w:sz w:val="12"/>
              </w:rPr>
              <w:t xml:space="preserve">€ 332,200 € 1,138,973</w:t>
            </w:r>
          </w:p>
          <w:p>
            <w:pPr>
              <w:spacing w:before="0" w:after="0" w:line="259" w:lineRule="auto"/>
              <w:ind w:left="0" w:right="6" w:firstLine="0"/>
              <w:jc w:val="right"/>
            </w:pPr>
            <w:r>
              <w:rPr>
                <w:rFonts w:cs="Calibri" w:hAnsi="Calibri" w:eastAsia="Calibri" w:ascii="Calibri"/>
                <w:b w:val="1"/>
                <w:sz w:val="12"/>
              </w:rPr>
              <w:t xml:space="preserve">€ 2,313,164</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17%</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78" w:hRule="atLeast"/>
        </w:trPr>
        <w:tc>
          <w:tcPr>
            <w:tcW w:w="6422" w:type="dxa"/>
            <w:tcBorders>
              <w:top w:val="nil"/>
              <w:left w:val="single" w:sz="9" w:color="000000"/>
              <w:bottom w:val="single" w:sz="9" w:color="000000"/>
              <w:right w:val="single" w:sz="9" w:color="000000"/>
            </w:tcBorders>
            <w:shd w:val="clear" w:fill="f1dddc"/>
            <w:vAlign w:val="top"/>
          </w:tcPr>
          <w:p>
            <w:pPr>
              <w:spacing w:before="0" w:after="0" w:line="259" w:lineRule="auto"/>
              <w:ind w:left="0" w:right="42" w:firstLine="0"/>
              <w:jc w:val="right"/>
            </w:pPr>
            <w:r>
              <w:rPr>
                <w:rFonts w:cs="Calibri" w:hAnsi="Calibri" w:eastAsia="Calibri" w:ascii="Calibri"/>
                <w:b w:val="1"/>
                <w:sz w:val="12"/>
              </w:rPr>
              <w:t xml:space="preserve">TOTAL PROJECT ACTIVITIES:</w:t>
            </w:r>
          </w:p>
        </w:tc>
        <w:tc>
          <w:tcPr>
            <w:tcW w:w="869"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$3,216,842</w:t>
            </w:r>
          </w:p>
        </w:tc>
        <w:tc>
          <w:tcPr>
            <w:tcW w:w="907"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$6,918,920</w:t>
            </w:r>
          </w:p>
        </w:tc>
        <w:tc>
          <w:tcPr>
            <w:tcW w:w="991"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$5,634,830</w:t>
            </w:r>
          </w:p>
        </w:tc>
        <w:tc>
          <w:tcPr>
            <w:tcW w:w="859"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$15,770,592</w:t>
            </w: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1" w:right="0" w:firstLine="0"/>
              <w:jc w:val="left"/>
            </w:pPr>
            <w:r>
              <w:rPr>
                <w:rFonts w:cs="Calibri" w:hAnsi="Calibri" w:eastAsia="Calibri" w:ascii="Calibri"/>
                <w:sz w:val="12"/>
              </w:rPr>
              <w:t xml:space="preserve">86%</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€ 2,428,715</w:t>
            </w:r>
          </w:p>
        </w:tc>
        <w:tc>
          <w:tcPr>
            <w:tcW w:w="888"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€ 5,223,785</w:t>
            </w:r>
          </w:p>
        </w:tc>
        <w:tc>
          <w:tcPr>
            <w:tcW w:w="926"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€ 4,254,297</w:t>
            </w:r>
          </w:p>
        </w:tc>
        <w:tc>
          <w:tcPr>
            <w:tcW w:w="888" w:type="dxa"/>
            <w:tcBorders>
              <w:top w:val="nil"/>
              <w:left w:val="single" w:sz="9" w:color="000000"/>
              <w:bottom w:val="single" w:sz="9" w:color="000000"/>
              <w:right w:val="single" w:sz="9" w:color="000000"/>
            </w:tcBorders>
            <w:shd w:val="clear" w:fill="f1dddc"/>
            <w:vAlign w:val="top"/>
          </w:tcPr>
          <w:p>
            <w:pPr>
              <w:spacing w:before="0" w:after="0" w:line="259" w:lineRule="auto"/>
              <w:ind w:left="0" w:right="6" w:firstLine="0"/>
              <w:jc w:val="right"/>
            </w:pPr>
            <w:r>
              <w:rPr>
                <w:rFonts w:cs="Calibri" w:hAnsi="Calibri" w:eastAsia="Calibri" w:ascii="Calibri"/>
                <w:b w:val="1"/>
                <w:sz w:val="12"/>
              </w:rPr>
              <w:t xml:space="preserve">€ 11,906,797</w:t>
            </w:r>
          </w:p>
        </w:tc>
      </w:tr>
      <w:tr>
        <w:trPr>
          <w:trHeight w:val="169" w:hRule="atLeast"/>
        </w:trPr>
        <w:tc>
          <w:tcPr>
            <w:tcW w:w="6422" w:type="dxa"/>
            <w:tcBorders>
              <w:top w:val="single" w:sz="9" w:color="000000"/>
              <w:left w:val="single" w:sz="9" w:color="000000"/>
              <w:bottom w:val="nil"/>
              <w:right w:val="single" w:sz="9" w:color="000000"/>
            </w:tcBorders>
            <w:shd w:val="clear" w:fill="eaf1dd"/>
            <w:vAlign w:val="top"/>
          </w:tcPr>
          <w:p>
            <w:pPr>
              <w:spacing w:before="0" w:after="0" w:line="259" w:lineRule="auto"/>
              <w:ind w:left="36" w:right="0" w:firstLine="0"/>
              <w:jc w:val="left"/>
            </w:pPr>
            <w:r>
              <w:rPr>
                <w:rFonts w:cs="Calibri" w:hAnsi="Calibri" w:eastAsia="Calibri" w:ascii="Calibri"/>
                <w:b w:val="1"/>
                <w:sz w:val="12"/>
              </w:rPr>
              <w:t xml:space="preserve">COMPONENT 5:  PROJECT MANAGEMENT SERVICES                                                                              </w:t>
            </w:r>
          </w:p>
        </w:tc>
        <w:tc>
          <w:tcPr>
            <w:tcW w:w="869"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07"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91"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59" w:type="dxa"/>
            <w:tcBorders>
              <w:top w:val="single" w:sz="9" w:color="000000"/>
              <w:left w:val="single" w:sz="9" w:color="000000"/>
              <w:bottom w:val="nil"/>
              <w:right w:val="single" w:sz="9" w:color="000000"/>
            </w:tcBorders>
            <w:shd w:val="clear" w:fill="eaf1dd"/>
            <w:vAlign w:val="bottom"/>
          </w:tcPr>
          <w:p>
            <w:pPr>
              <w:bidi w:val="0"/>
              <w:spacing w:before="0" w:after="160" w:line="259" w:lineRule="auto"/>
              <w:ind w:left="0" w:right="0" w:firstLine="0"/>
              <w:jc w:val="left"/>
            </w:pPr>
          </w:p>
        </w:tc>
        <w:tc>
          <w:tcPr>
            <w:tcW w:w="336" w:type="dxa"/>
            <w:vMerge w:val="restart"/>
            <w:tcBorders>
              <w:top w:val="single" w:sz="9" w:color="000000"/>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926"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c>
          <w:tcPr>
            <w:tcW w:w="888" w:type="dxa"/>
            <w:tcBorders>
              <w:top w:val="single" w:sz="9" w:color="000000"/>
              <w:left w:val="single" w:sz="9" w:color="000000"/>
              <w:bottom w:val="nil"/>
              <w:right w:val="single" w:sz="9" w:color="000000"/>
            </w:tcBorders>
            <w:shd w:val="clear" w:fill="eaf1dd"/>
            <w:vAlign w:val="top"/>
          </w:tcPr>
          <w:p>
            <w:pPr>
              <w:bidi w:val="0"/>
              <w:spacing w:before="0" w:after="160" w:line="259" w:lineRule="auto"/>
              <w:ind w:left="0" w:right="0" w:firstLine="0"/>
              <w:jc w:val="left"/>
            </w:pPr>
          </w:p>
        </w:tc>
      </w:tr>
      <w:tr>
        <w:trPr>
          <w:trHeight w:val="680" w:hRule="atLeast"/>
        </w:trPr>
        <w:tc>
          <w:tcPr>
            <w:tcW w:w="6422" w:type="dxa"/>
            <w:vMerge w:val="restart"/>
            <w:tcBorders>
              <w:top w:val="nil"/>
              <w:left w:val="single" w:sz="9" w:color="000000"/>
              <w:bottom w:val="nil"/>
              <w:right w:val="single" w:sz="9" w:color="000000"/>
            </w:tcBorders>
            <w:vAlign w:val="top"/>
          </w:tcPr>
          <w:p>
            <w:pPr>
              <w:tabs>
                <w:tab w:val="center" w:pos="470"/>
                <w:tab w:val="center" w:pos="1678"/>
              </w:tabs>
              <w:spacing w:before="0" w:after="2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5.1.1.	</w:t>
            </w:r>
            <w:r>
              <w:rPr>
                <w:rFonts w:cs="Calibri" w:hAnsi="Calibri" w:eastAsia="Calibri" w:ascii="Calibri"/>
                <w:sz w:val="12"/>
              </w:rPr>
              <w:t xml:space="preserve">Project Management set up and facilities </w:t>
            </w:r>
          </w:p>
          <w:p>
            <w:pPr>
              <w:tabs>
                <w:tab w:val="center" w:pos="470"/>
                <w:tab w:val="center" w:pos="970"/>
              </w:tabs>
              <w:spacing w:before="0" w:after="14" w:line="259" w:lineRule="auto"/>
              <w:ind w:left="0" w:right="0" w:firstLine="0"/>
              <w:jc w:val="left"/>
            </w:pPr>
            <w:r>
              <w:rPr>
                <w:rFonts w:cs="Calibri" w:hAnsi="Calibri" w:eastAsia="Calibri" w:ascii="Calibri"/>
                <w:sz w:val="22"/>
              </w:rPr>
              <w:t xml:space="preserve">	</w:t>
            </w:r>
            <w:r>
              <w:rPr>
                <w:rFonts w:cs="Calibri" w:hAnsi="Calibri" w:eastAsia="Calibri" w:ascii="Calibri"/>
                <w:sz w:val="12"/>
              </w:rPr>
              <w:t xml:space="preserve">5.1.2.	</w:t>
            </w:r>
            <w:r>
              <w:rPr>
                <w:rFonts w:cs="Calibri" w:hAnsi="Calibri" w:eastAsia="Calibri" w:ascii="Calibri"/>
                <w:sz w:val="12"/>
              </w:rPr>
              <w:t xml:space="preserve">Staff Costs</w:t>
            </w:r>
          </w:p>
          <w:p>
            <w:pPr>
              <w:spacing w:before="0" w:after="12" w:line="302" w:lineRule="auto"/>
              <w:ind w:left="338" w:right="1403" w:firstLine="0"/>
              <w:jc w:val="left"/>
            </w:pPr>
            <w:r>
              <w:rPr>
                <w:rFonts w:cs="Calibri" w:hAnsi="Calibri" w:eastAsia="Calibri" w:ascii="Calibri"/>
                <w:sz w:val="12"/>
              </w:rPr>
              <w:t xml:space="preserve">5.1.3.	</w:t>
            </w:r>
            <w:r>
              <w:rPr>
                <w:rFonts w:cs="Calibri" w:hAnsi="Calibri" w:eastAsia="Calibri" w:ascii="Calibri"/>
                <w:sz w:val="12"/>
              </w:rPr>
              <w:t xml:space="preserve">Monitoring reporting and evaluation costs including EAD and other relevant missions </w:t>
            </w:r>
            <w:r>
              <w:rPr>
                <w:rFonts w:cs="Calibri" w:hAnsi="Calibri" w:eastAsia="Calibri" w:ascii="Calibri"/>
                <w:sz w:val="12"/>
              </w:rPr>
              <w:t xml:space="preserve">5.1.4.	</w:t>
            </w:r>
            <w:r>
              <w:rPr>
                <w:rFonts w:cs="Calibri" w:hAnsi="Calibri" w:eastAsia="Calibri" w:ascii="Calibri"/>
                <w:sz w:val="12"/>
              </w:rPr>
              <w:t xml:space="preserve"> Additional TA as needed  </w:t>
            </w:r>
          </w:p>
          <w:p>
            <w:pPr>
              <w:spacing w:before="0" w:after="0" w:line="259" w:lineRule="auto"/>
              <w:ind w:left="0" w:right="41" w:firstLine="0"/>
              <w:jc w:val="right"/>
            </w:pPr>
            <w:r>
              <w:rPr>
                <w:rFonts w:cs="Calibri" w:hAnsi="Calibri" w:eastAsia="Calibri" w:ascii="Calibri"/>
                <w:b w:val="1"/>
                <w:sz w:val="12"/>
              </w:rPr>
              <w:t xml:space="preserve">SUBTOTAL:</w:t>
            </w:r>
          </w:p>
        </w:tc>
        <w:tc>
          <w:tcPr>
            <w:tcW w:w="869" w:type="dxa"/>
            <w:vMerge w:val="restart"/>
            <w:tcBorders>
              <w:top w:val="nil"/>
              <w:left w:val="single" w:sz="9" w:color="000000"/>
              <w:bottom w:val="nil"/>
              <w:right w:val="single" w:sz="9" w:color="000000"/>
            </w:tcBorders>
            <w:vAlign w:val="top"/>
          </w:tcPr>
          <w:p>
            <w:pPr>
              <w:spacing w:before="0" w:after="0" w:line="287" w:lineRule="auto"/>
              <w:ind w:left="174" w:right="0" w:firstLine="0"/>
              <w:jc w:val="center"/>
            </w:pPr>
            <w:r>
              <w:rPr>
                <w:rFonts w:cs="Calibri" w:hAnsi="Calibri" w:eastAsia="Calibri" w:ascii="Calibri"/>
                <w:sz w:val="12"/>
              </w:rPr>
              <w:t xml:space="preserve">$251,168 $150,000</w:t>
            </w:r>
          </w:p>
          <w:p>
            <w:pPr>
              <w:spacing w:before="0" w:after="16" w:line="259" w:lineRule="auto"/>
              <w:ind w:left="0" w:right="0" w:firstLine="0"/>
              <w:jc w:val="right"/>
            </w:pPr>
            <w:r>
              <w:rPr>
                <w:rFonts w:cs="Calibri" w:hAnsi="Calibri" w:eastAsia="Calibri" w:ascii="Calibri"/>
                <w:sz w:val="12"/>
              </w:rPr>
              <w:t xml:space="preserve">$26,500</w:t>
            </w:r>
          </w:p>
          <w:p>
            <w:pPr>
              <w:spacing w:before="0" w:after="0" w:line="259" w:lineRule="auto"/>
              <w:ind w:left="280" w:right="0" w:firstLine="0"/>
              <w:jc w:val="right"/>
            </w:pPr>
            <w:r>
              <w:rPr>
                <w:rFonts w:cs="Calibri" w:hAnsi="Calibri" w:eastAsia="Calibri" w:ascii="Calibri"/>
                <w:sz w:val="12"/>
              </w:rPr>
              <w:t xml:space="preserve">$0 </w:t>
            </w:r>
            <w:r>
              <w:rPr>
                <w:rFonts w:cs="Calibri" w:hAnsi="Calibri" w:eastAsia="Calibri" w:ascii="Calibri"/>
                <w:b w:val="1"/>
                <w:sz w:val="12"/>
              </w:rPr>
              <w:t xml:space="preserve">$427,668</w:t>
            </w:r>
          </w:p>
        </w:tc>
        <w:tc>
          <w:tcPr>
            <w:tcW w:w="907"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$249,800</w:t>
            </w:r>
          </w:p>
          <w:p>
            <w:pPr>
              <w:spacing w:before="0" w:after="7" w:line="259" w:lineRule="auto"/>
              <w:ind w:left="0" w:right="5" w:firstLine="0"/>
              <w:jc w:val="right"/>
            </w:pPr>
            <w:r>
              <w:rPr>
                <w:rFonts w:cs="Calibri" w:hAnsi="Calibri" w:eastAsia="Calibri" w:ascii="Calibri"/>
                <w:sz w:val="12"/>
              </w:rPr>
              <w:t xml:space="preserve">$461,812</w:t>
            </w:r>
          </w:p>
          <w:p>
            <w:pPr>
              <w:spacing w:before="0" w:after="26" w:line="259" w:lineRule="auto"/>
              <w:ind w:left="0" w:right="5" w:firstLine="0"/>
              <w:jc w:val="right"/>
            </w:pPr>
            <w:r>
              <w:rPr>
                <w:rFonts w:cs="Calibri" w:hAnsi="Calibri" w:eastAsia="Calibri" w:ascii="Calibri"/>
                <w:sz w:val="12"/>
              </w:rPr>
              <w:t xml:space="preserve">$50,000</w:t>
            </w:r>
          </w:p>
          <w:p>
            <w:pPr>
              <w:spacing w:before="0" w:after="0" w:line="259" w:lineRule="auto"/>
              <w:ind w:left="0" w:right="5" w:firstLine="0"/>
              <w:jc w:val="right"/>
            </w:pPr>
            <w:r>
              <w:rPr>
                <w:rFonts w:cs="Calibri" w:hAnsi="Calibri" w:eastAsia="Calibri" w:ascii="Calibri"/>
                <w:sz w:val="12"/>
              </w:rPr>
              <w:t xml:space="preserve">$300,000 </w:t>
            </w:r>
            <w:r>
              <w:rPr>
                <w:rFonts w:cs="Calibri" w:hAnsi="Calibri" w:eastAsia="Calibri" w:ascii="Calibri"/>
                <w:b w:val="1"/>
                <w:sz w:val="12"/>
              </w:rPr>
              <w:t xml:space="preserve">$1,061,612</w:t>
            </w:r>
          </w:p>
        </w:tc>
        <w:tc>
          <w:tcPr>
            <w:tcW w:w="991"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$252,600</w:t>
            </w:r>
          </w:p>
          <w:p>
            <w:pPr>
              <w:spacing w:before="0" w:after="7" w:line="259" w:lineRule="auto"/>
              <w:ind w:left="0" w:right="5" w:firstLine="0"/>
              <w:jc w:val="right"/>
            </w:pPr>
            <w:r>
              <w:rPr>
                <w:rFonts w:cs="Calibri" w:hAnsi="Calibri" w:eastAsia="Calibri" w:ascii="Calibri"/>
                <w:sz w:val="12"/>
              </w:rPr>
              <w:t xml:space="preserve">$461,812</w:t>
            </w:r>
          </w:p>
          <w:p>
            <w:pPr>
              <w:spacing w:before="0" w:after="26" w:line="259" w:lineRule="auto"/>
              <w:ind w:left="0" w:right="5" w:firstLine="0"/>
              <w:jc w:val="right"/>
            </w:pPr>
            <w:r>
              <w:rPr>
                <w:rFonts w:cs="Calibri" w:hAnsi="Calibri" w:eastAsia="Calibri" w:ascii="Calibri"/>
                <w:sz w:val="12"/>
              </w:rPr>
              <w:t xml:space="preserve">$50,000</w:t>
            </w:r>
          </w:p>
          <w:p>
            <w:pPr>
              <w:spacing w:before="0" w:after="0" w:line="259" w:lineRule="auto"/>
              <w:ind w:left="0" w:right="5" w:firstLine="0"/>
              <w:jc w:val="right"/>
            </w:pPr>
            <w:r>
              <w:rPr>
                <w:rFonts w:cs="Calibri" w:hAnsi="Calibri" w:eastAsia="Calibri" w:ascii="Calibri"/>
                <w:sz w:val="12"/>
              </w:rPr>
              <w:t xml:space="preserve">$300,000 </w:t>
            </w:r>
            <w:r>
              <w:rPr>
                <w:rFonts w:cs="Calibri" w:hAnsi="Calibri" w:eastAsia="Calibri" w:ascii="Calibri"/>
                <w:b w:val="1"/>
                <w:sz w:val="12"/>
              </w:rPr>
              <w:t xml:space="preserve">$1,064,412</w:t>
            </w:r>
          </w:p>
        </w:tc>
        <w:tc>
          <w:tcPr>
            <w:tcW w:w="859"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$753,568</w:t>
            </w:r>
          </w:p>
          <w:p>
            <w:pPr>
              <w:spacing w:before="0" w:after="0" w:line="287" w:lineRule="auto"/>
              <w:ind w:left="0" w:right="5" w:firstLine="0"/>
              <w:jc w:val="right"/>
            </w:pPr>
            <w:r>
              <w:rPr>
                <w:rFonts w:cs="Calibri" w:hAnsi="Calibri" w:eastAsia="Calibri" w:ascii="Calibri"/>
                <w:sz w:val="12"/>
              </w:rPr>
              <w:t xml:space="preserve">$1,073,624 $126,500</w:t>
            </w:r>
          </w:p>
          <w:p>
            <w:pPr>
              <w:spacing w:before="0" w:after="0" w:line="259" w:lineRule="auto"/>
              <w:ind w:left="0" w:right="5" w:firstLine="0"/>
              <w:jc w:val="right"/>
            </w:pPr>
            <w:r>
              <w:rPr>
                <w:rFonts w:cs="Calibri" w:hAnsi="Calibri" w:eastAsia="Calibri" w:ascii="Calibri"/>
                <w:sz w:val="12"/>
              </w:rPr>
              <w:t xml:space="preserve">$600,000 </w:t>
            </w:r>
            <w:r>
              <w:rPr>
                <w:rFonts w:cs="Calibri" w:hAnsi="Calibri" w:eastAsia="Calibri" w:ascii="Calibri"/>
                <w:b w:val="1"/>
                <w:sz w:val="12"/>
              </w:rPr>
              <w:t xml:space="preserve">$2,553,692</w:t>
            </w:r>
          </w:p>
        </w:tc>
        <w:tc>
          <w:tcPr>
            <w:vMerge w:val="continue"/>
            <w:tcBorders>
              <w:top w:val="nil"/>
              <w:left w:val="single" w:sz="9" w:color="000000"/>
              <w:bottom w:val="single" w:sz="9" w:color="000000"/>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€ 189,632</w:t>
            </w:r>
          </w:p>
          <w:p>
            <w:pPr>
              <w:spacing w:before="0" w:after="16" w:line="259" w:lineRule="auto"/>
              <w:ind w:left="0" w:right="5" w:firstLine="0"/>
              <w:jc w:val="right"/>
            </w:pPr>
            <w:r>
              <w:rPr>
                <w:rFonts w:cs="Calibri" w:hAnsi="Calibri" w:eastAsia="Calibri" w:ascii="Calibri"/>
                <w:sz w:val="12"/>
              </w:rPr>
              <w:t xml:space="preserve">€ 113,250</w:t>
            </w:r>
          </w:p>
          <w:p>
            <w:pPr>
              <w:spacing w:before="0" w:after="16" w:line="259" w:lineRule="auto"/>
              <w:ind w:left="0" w:right="5" w:firstLine="0"/>
              <w:jc w:val="right"/>
            </w:pPr>
            <w:r>
              <w:rPr>
                <w:rFonts w:cs="Calibri" w:hAnsi="Calibri" w:eastAsia="Calibri" w:ascii="Calibri"/>
                <w:sz w:val="12"/>
              </w:rPr>
              <w:t xml:space="preserve">€ 20,008</w:t>
            </w:r>
          </w:p>
          <w:p>
            <w:pPr>
              <w:spacing w:before="0" w:after="16" w:line="259" w:lineRule="auto"/>
              <w:ind w:left="0" w:right="5" w:firstLine="0"/>
              <w:jc w:val="right"/>
            </w:pPr>
            <w:r>
              <w:rPr>
                <w:rFonts w:cs="Calibri" w:hAnsi="Calibri" w:eastAsia="Calibri" w:ascii="Calibri"/>
                <w:sz w:val="12"/>
              </w:rPr>
              <w:t xml:space="preserve">€ 0</w:t>
            </w:r>
          </w:p>
          <w:p>
            <w:pPr>
              <w:spacing w:before="0" w:after="0" w:line="259" w:lineRule="auto"/>
              <w:ind w:left="0" w:right="0" w:firstLine="0"/>
              <w:jc w:val="right"/>
            </w:pPr>
            <w:r>
              <w:rPr>
                <w:rFonts w:cs="Calibri" w:hAnsi="Calibri" w:eastAsia="Calibri" w:ascii="Calibri"/>
                <w:b w:val="1"/>
                <w:sz w:val="12"/>
              </w:rPr>
              <w:t xml:space="preserve">€ 322,889</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€ 188,599</w:t>
            </w:r>
          </w:p>
          <w:p>
            <w:pPr>
              <w:spacing w:before="0" w:after="16" w:line="259" w:lineRule="auto"/>
              <w:ind w:left="0" w:right="5" w:firstLine="0"/>
              <w:jc w:val="right"/>
            </w:pPr>
            <w:r>
              <w:rPr>
                <w:rFonts w:cs="Calibri" w:hAnsi="Calibri" w:eastAsia="Calibri" w:ascii="Calibri"/>
                <w:sz w:val="12"/>
              </w:rPr>
              <w:t xml:space="preserve">€ 348,668</w:t>
            </w:r>
          </w:p>
          <w:p>
            <w:pPr>
              <w:spacing w:before="0" w:after="10" w:line="287" w:lineRule="auto"/>
              <w:ind w:left="384" w:right="0" w:firstLine="58"/>
              <w:jc w:val="left"/>
            </w:pPr>
            <w:r>
              <w:rPr>
                <w:rFonts w:cs="Calibri" w:hAnsi="Calibri" w:eastAsia="Calibri" w:ascii="Calibri"/>
                <w:sz w:val="12"/>
              </w:rPr>
              <w:t xml:space="preserve">€ 37,750 € 226,500</w:t>
            </w:r>
          </w:p>
          <w:p>
            <w:pPr>
              <w:spacing w:before="0" w:after="0" w:line="259" w:lineRule="auto"/>
              <w:ind w:left="0" w:right="5" w:firstLine="0"/>
              <w:jc w:val="right"/>
            </w:pPr>
            <w:r>
              <w:rPr>
                <w:rFonts w:cs="Calibri" w:hAnsi="Calibri" w:eastAsia="Calibri" w:ascii="Calibri"/>
                <w:b w:val="1"/>
                <w:sz w:val="12"/>
              </w:rPr>
              <w:t xml:space="preserve">€ 801,517</w:t>
            </w:r>
          </w:p>
        </w:tc>
        <w:tc>
          <w:tcPr>
            <w:tcW w:w="926"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€ 190,713</w:t>
            </w:r>
          </w:p>
          <w:p>
            <w:pPr>
              <w:spacing w:before="0" w:after="16" w:line="259" w:lineRule="auto"/>
              <w:ind w:left="0" w:right="5" w:firstLine="0"/>
              <w:jc w:val="right"/>
            </w:pPr>
            <w:r>
              <w:rPr>
                <w:rFonts w:cs="Calibri" w:hAnsi="Calibri" w:eastAsia="Calibri" w:ascii="Calibri"/>
                <w:sz w:val="12"/>
              </w:rPr>
              <w:t xml:space="preserve">€ 348,668</w:t>
            </w:r>
          </w:p>
          <w:p>
            <w:pPr>
              <w:spacing w:before="0" w:after="10" w:line="287" w:lineRule="auto"/>
              <w:ind w:left="422" w:right="0" w:firstLine="58"/>
              <w:jc w:val="left"/>
            </w:pPr>
            <w:r>
              <w:rPr>
                <w:rFonts w:cs="Calibri" w:hAnsi="Calibri" w:eastAsia="Calibri" w:ascii="Calibri"/>
                <w:sz w:val="12"/>
              </w:rPr>
              <w:t xml:space="preserve">€ 37,750 € 226,500</w:t>
            </w:r>
          </w:p>
          <w:p>
            <w:pPr>
              <w:spacing w:before="0" w:after="0" w:line="259" w:lineRule="auto"/>
              <w:ind w:left="0" w:right="5" w:firstLine="0"/>
              <w:jc w:val="right"/>
            </w:pPr>
            <w:r>
              <w:rPr>
                <w:rFonts w:cs="Calibri" w:hAnsi="Calibri" w:eastAsia="Calibri" w:ascii="Calibri"/>
                <w:b w:val="1"/>
                <w:sz w:val="12"/>
              </w:rPr>
              <w:t xml:space="preserve">€ 803,631</w:t>
            </w:r>
          </w:p>
        </w:tc>
        <w:tc>
          <w:tcPr>
            <w:tcW w:w="888" w:type="dxa"/>
            <w:vMerge w:val="restart"/>
            <w:tcBorders>
              <w:top w:val="nil"/>
              <w:left w:val="single" w:sz="9" w:color="000000"/>
              <w:bottom w:val="nil"/>
              <w:right w:val="single" w:sz="9" w:color="000000"/>
            </w:tcBorders>
            <w:vAlign w:val="top"/>
          </w:tcPr>
          <w:p>
            <w:pPr>
              <w:spacing w:before="0" w:after="16" w:line="259" w:lineRule="auto"/>
              <w:ind w:left="0" w:right="5" w:firstLine="0"/>
              <w:jc w:val="right"/>
            </w:pPr>
            <w:r>
              <w:rPr>
                <w:rFonts w:cs="Calibri" w:hAnsi="Calibri" w:eastAsia="Calibri" w:ascii="Calibri"/>
                <w:sz w:val="12"/>
              </w:rPr>
              <w:t xml:space="preserve">€ 568,944</w:t>
            </w:r>
          </w:p>
          <w:p>
            <w:pPr>
              <w:spacing w:before="0" w:after="16" w:line="259" w:lineRule="auto"/>
              <w:ind w:left="0" w:right="5" w:firstLine="0"/>
              <w:jc w:val="right"/>
            </w:pPr>
            <w:r>
              <w:rPr>
                <w:rFonts w:cs="Calibri" w:hAnsi="Calibri" w:eastAsia="Calibri" w:ascii="Calibri"/>
                <w:sz w:val="12"/>
              </w:rPr>
              <w:t xml:space="preserve">€ 810,586</w:t>
            </w:r>
          </w:p>
          <w:p>
            <w:pPr>
              <w:spacing w:before="0" w:after="16" w:line="259" w:lineRule="auto"/>
              <w:ind w:left="0" w:right="5" w:firstLine="0"/>
              <w:jc w:val="right"/>
            </w:pPr>
            <w:r>
              <w:rPr>
                <w:rFonts w:cs="Calibri" w:hAnsi="Calibri" w:eastAsia="Calibri" w:ascii="Calibri"/>
                <w:sz w:val="12"/>
              </w:rPr>
              <w:t xml:space="preserve">€ 95,508</w:t>
            </w:r>
          </w:p>
          <w:p>
            <w:pPr>
              <w:spacing w:before="0" w:after="0" w:line="259" w:lineRule="auto"/>
              <w:ind w:left="297" w:right="5" w:firstLine="0"/>
              <w:jc w:val="right"/>
            </w:pPr>
            <w:r>
              <w:rPr>
                <w:rFonts w:cs="Calibri" w:hAnsi="Calibri" w:eastAsia="Calibri" w:ascii="Calibri"/>
                <w:sz w:val="12"/>
              </w:rPr>
              <w:t xml:space="preserve">€ 453,000 </w:t>
            </w:r>
            <w:r>
              <w:rPr>
                <w:rFonts w:cs="Calibri" w:hAnsi="Calibri" w:eastAsia="Calibri" w:ascii="Calibri"/>
                <w:b w:val="1"/>
                <w:sz w:val="12"/>
              </w:rPr>
              <w:t xml:space="preserve">€ 1,928,038</w:t>
            </w:r>
          </w:p>
        </w:tc>
      </w:tr>
      <w:tr>
        <w:trPr>
          <w:trHeight w:val="178" w:hRule="atLeast"/>
        </w:trPr>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tcW w:w="336" w:type="dxa"/>
            <w:tcBorders>
              <w:top w:val="single" w:sz="9" w:color="000000"/>
              <w:left w:val="single" w:sz="9" w:color="000000"/>
              <w:bottom w:val="single" w:sz="9" w:color="000000"/>
              <w:right w:val="single" w:sz="9" w:color="000000"/>
            </w:tcBorders>
            <w:vAlign w:val="top"/>
          </w:tcPr>
          <w:p>
            <w:pPr>
              <w:spacing w:before="0" w:after="0" w:line="259" w:lineRule="auto"/>
              <w:ind w:left="2" w:right="0" w:firstLine="0"/>
              <w:jc w:val="left"/>
            </w:pPr>
            <w:r>
              <w:rPr>
                <w:rFonts w:cs="Calibri" w:hAnsi="Calibri" w:eastAsia="Calibri" w:ascii="Calibri"/>
                <w:sz w:val="12"/>
              </w:rPr>
              <w:t xml:space="preserve">14%</w:t>
            </w: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c>
          <w:tcPr>
            <w:vMerge w:val="continue"/>
            <w:tcBorders>
              <w:top w:val="nil"/>
              <w:left w:val="single" w:sz="9" w:color="000000"/>
              <w:bottom w:val="nil"/>
              <w:right w:val="single" w:sz="9" w:color="000000"/>
            </w:tcBorders>
            <w:vAlign w:val="top"/>
          </w:tcPr>
          <w:p>
            <w:pPr>
              <w:bidi w:val="0"/>
              <w:spacing w:before="0" w:after="160" w:line="259" w:lineRule="auto"/>
              <w:ind w:left="0" w:right="0" w:firstLine="0"/>
              <w:jc w:val="left"/>
            </w:pPr>
          </w:p>
        </w:tc>
      </w:tr>
      <w:tr>
        <w:trPr>
          <w:trHeight w:val="178" w:hRule="atLeast"/>
        </w:trPr>
        <w:tc>
          <w:tcPr>
            <w:tcW w:w="6422" w:type="dxa"/>
            <w:tcBorders>
              <w:top w:val="nil"/>
              <w:left w:val="single" w:sz="9" w:color="000000"/>
              <w:bottom w:val="single" w:sz="9" w:color="000000"/>
              <w:right w:val="single" w:sz="9" w:color="000000"/>
            </w:tcBorders>
            <w:shd w:val="clear" w:fill="f1dddc"/>
            <w:vAlign w:val="top"/>
          </w:tcPr>
          <w:p>
            <w:pPr>
              <w:spacing w:before="0" w:after="0" w:line="259" w:lineRule="auto"/>
              <w:ind w:left="0" w:right="41" w:firstLine="0"/>
              <w:jc w:val="right"/>
            </w:pPr>
            <w:r>
              <w:rPr>
                <w:rFonts w:cs="Calibri" w:hAnsi="Calibri" w:eastAsia="Calibri" w:ascii="Calibri"/>
                <w:b w:val="1"/>
                <w:sz w:val="12"/>
              </w:rPr>
              <w:t xml:space="preserve">TOTAL PROJECT ACTIVITIES + PROJECT MANAGEMENT:</w:t>
            </w:r>
          </w:p>
        </w:tc>
        <w:tc>
          <w:tcPr>
            <w:tcW w:w="869"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$3,644,510</w:t>
            </w:r>
          </w:p>
        </w:tc>
        <w:tc>
          <w:tcPr>
            <w:tcW w:w="907"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$7,980,532</w:t>
            </w:r>
          </w:p>
        </w:tc>
        <w:tc>
          <w:tcPr>
            <w:tcW w:w="991"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$6,699,242</w:t>
            </w:r>
          </w:p>
        </w:tc>
        <w:tc>
          <w:tcPr>
            <w:tcW w:w="859"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$18,324,284</w:t>
            </w:r>
          </w:p>
        </w:tc>
        <w:tc>
          <w:tcPr>
            <w:tcW w:w="336" w:type="dxa"/>
            <w:vMerge w:val="restart"/>
            <w:tcBorders>
              <w:top w:val="single" w:sz="9" w:color="000000"/>
              <w:left w:val="single" w:sz="9" w:color="000000"/>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€ 2,751,605</w:t>
            </w:r>
          </w:p>
        </w:tc>
        <w:tc>
          <w:tcPr>
            <w:tcW w:w="888"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€ 6,025,302</w:t>
            </w:r>
          </w:p>
        </w:tc>
        <w:tc>
          <w:tcPr>
            <w:tcW w:w="926"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€ 5,057,928</w:t>
            </w:r>
          </w:p>
        </w:tc>
        <w:tc>
          <w:tcPr>
            <w:tcW w:w="888" w:type="dxa"/>
            <w:tcBorders>
              <w:top w:val="nil"/>
              <w:left w:val="single" w:sz="9" w:color="000000"/>
              <w:bottom w:val="single" w:sz="9" w:color="000000"/>
              <w:right w:val="single" w:sz="9" w:color="000000"/>
            </w:tcBorders>
            <w:shd w:val="clear" w:fill="f1dddc"/>
            <w:vAlign w:val="top"/>
          </w:tcPr>
          <w:p>
            <w:pPr>
              <w:spacing w:before="0" w:after="0" w:line="259" w:lineRule="auto"/>
              <w:ind w:left="0" w:right="5" w:firstLine="0"/>
              <w:jc w:val="right"/>
            </w:pPr>
            <w:r>
              <w:rPr>
                <w:rFonts w:cs="Calibri" w:hAnsi="Calibri" w:eastAsia="Calibri" w:ascii="Calibri"/>
                <w:b w:val="1"/>
                <w:sz w:val="12"/>
              </w:rPr>
              <w:t xml:space="preserve">€ 13,834,835</w:t>
            </w:r>
          </w:p>
        </w:tc>
      </w:tr>
      <w:tr>
        <w:trPr>
          <w:trHeight w:val="682" w:hRule="atLeast"/>
        </w:trPr>
        <w:tc>
          <w:tcPr>
            <w:tcW w:w="6422" w:type="dxa"/>
            <w:tcBorders>
              <w:top w:val="single" w:sz="9" w:color="000000"/>
              <w:left w:val="single" w:sz="9" w:color="000000"/>
              <w:bottom w:val="single" w:sz="9" w:color="000000"/>
              <w:right w:val="single" w:sz="5" w:color="000000"/>
            </w:tcBorders>
            <w:vAlign w:val="top"/>
          </w:tcPr>
          <w:p>
            <w:pPr>
              <w:spacing w:before="0" w:after="16" w:line="259" w:lineRule="auto"/>
              <w:ind w:left="0" w:right="42" w:firstLine="0"/>
              <w:jc w:val="right"/>
            </w:pPr>
            <w:r>
              <w:rPr>
                <w:rFonts w:cs="Calibri" w:hAnsi="Calibri" w:eastAsia="Calibri" w:ascii="Calibri"/>
                <w:b w:val="1"/>
                <w:sz w:val="12"/>
              </w:rPr>
              <w:t xml:space="preserve">TOTAL FOR GENERAL &amp; ADMINISTRATIVE FEE :</w:t>
            </w:r>
          </w:p>
          <w:p>
            <w:pPr>
              <w:spacing w:before="0" w:after="0" w:line="259" w:lineRule="auto"/>
              <w:ind w:left="3000" w:right="42" w:firstLine="0"/>
              <w:jc w:val="right"/>
            </w:pPr>
            <w:r>
              <w:rPr>
                <w:rFonts w:cs="Calibri" w:hAnsi="Calibri" w:eastAsia="Calibri" w:ascii="Calibri"/>
                <w:b w:val="1"/>
                <w:sz w:val="12"/>
              </w:rPr>
              <w:t xml:space="preserve">GENERAL &amp; ADMINISTRATIVE @7% YEARLY TOTAL PROJECT ACTIVITIES + PROJECT MANAGEMENT + GMS: UNDP Costs**</w:t>
            </w:r>
          </w:p>
        </w:tc>
        <w:tc>
          <w:tcPr>
            <w:tcW w:w="869" w:type="dxa"/>
            <w:tcBorders>
              <w:top w:val="single" w:sz="9" w:color="000000"/>
              <w:left w:val="single" w:sz="5" w:color="000000"/>
              <w:bottom w:val="single" w:sz="9" w:color="000000"/>
              <w:right w:val="single" w:sz="5" w:color="000000"/>
            </w:tcBorders>
            <w:vAlign w:val="top"/>
          </w:tcPr>
          <w:p>
            <w:pPr>
              <w:spacing w:before="0" w:after="16" w:line="259" w:lineRule="auto"/>
              <w:ind w:left="0" w:right="5" w:firstLine="0"/>
              <w:jc w:val="right"/>
            </w:pPr>
            <w:r>
              <w:rPr>
                <w:rFonts w:cs="Calibri" w:hAnsi="Calibri" w:eastAsia="Calibri" w:ascii="Calibri"/>
                <w:b w:val="1"/>
                <w:sz w:val="12"/>
              </w:rPr>
              <w:t xml:space="preserve">$3,644,510</w:t>
            </w:r>
          </w:p>
          <w:p>
            <w:pPr>
              <w:spacing w:before="0" w:after="0" w:line="287" w:lineRule="auto"/>
              <w:ind w:left="0" w:right="5" w:firstLine="0"/>
              <w:jc w:val="right"/>
            </w:pPr>
            <w:r>
              <w:rPr>
                <w:rFonts w:cs="Calibri" w:hAnsi="Calibri" w:eastAsia="Calibri" w:ascii="Calibri"/>
                <w:sz w:val="12"/>
              </w:rPr>
              <w:t xml:space="preserve">$255,116 </w:t>
            </w:r>
            <w:r>
              <w:rPr>
                <w:rFonts w:cs="Calibri" w:hAnsi="Calibri" w:eastAsia="Calibri" w:ascii="Calibri"/>
                <w:b w:val="1"/>
                <w:sz w:val="12"/>
              </w:rPr>
              <w:t xml:space="preserve">$3,899,625</w:t>
            </w:r>
          </w:p>
          <w:p>
            <w:pPr>
              <w:spacing w:before="0" w:after="0" w:line="259" w:lineRule="auto"/>
              <w:ind w:left="0" w:right="5" w:firstLine="0"/>
              <w:jc w:val="right"/>
            </w:pPr>
            <w:r>
              <w:rPr>
                <w:rFonts w:cs="Calibri" w:hAnsi="Calibri" w:eastAsia="Calibri" w:ascii="Calibri"/>
                <w:b w:val="1"/>
                <w:sz w:val="12"/>
              </w:rPr>
              <w:t xml:space="preserve">$1,000,000</w:t>
            </w:r>
          </w:p>
        </w:tc>
        <w:tc>
          <w:tcPr>
            <w:tcW w:w="907" w:type="dxa"/>
            <w:tcBorders>
              <w:top w:val="single" w:sz="9" w:color="000000"/>
              <w:left w:val="single" w:sz="5" w:color="000000"/>
              <w:bottom w:val="single" w:sz="9" w:color="000000"/>
              <w:right w:val="single" w:sz="5" w:color="000000"/>
            </w:tcBorders>
            <w:vAlign w:val="top"/>
          </w:tcPr>
          <w:p>
            <w:pPr>
              <w:spacing w:before="0" w:after="16" w:line="259" w:lineRule="auto"/>
              <w:ind w:left="0" w:right="5" w:firstLine="0"/>
              <w:jc w:val="right"/>
            </w:pPr>
            <w:r>
              <w:rPr>
                <w:rFonts w:cs="Calibri" w:hAnsi="Calibri" w:eastAsia="Calibri" w:ascii="Calibri"/>
                <w:b w:val="1"/>
                <w:sz w:val="12"/>
              </w:rPr>
              <w:t xml:space="preserve">$7,980,532</w:t>
            </w:r>
          </w:p>
          <w:p>
            <w:pPr>
              <w:spacing w:before="0" w:after="16" w:line="259" w:lineRule="auto"/>
              <w:ind w:left="0" w:right="5" w:firstLine="0"/>
              <w:jc w:val="right"/>
            </w:pPr>
            <w:r>
              <w:rPr>
                <w:rFonts w:cs="Calibri" w:hAnsi="Calibri" w:eastAsia="Calibri" w:ascii="Calibri"/>
                <w:sz w:val="12"/>
              </w:rPr>
              <w:t xml:space="preserve">$558,637</w:t>
            </w:r>
          </w:p>
          <w:p>
            <w:pPr>
              <w:spacing w:before="0" w:after="0" w:line="259" w:lineRule="auto"/>
              <w:ind w:left="746" w:right="0" w:hanging="403"/>
              <w:jc w:val="left"/>
            </w:pPr>
            <w:r>
              <w:rPr>
                <w:rFonts w:cs="Calibri" w:hAnsi="Calibri" w:eastAsia="Calibri" w:ascii="Calibri"/>
                <w:b w:val="1"/>
                <w:sz w:val="12"/>
              </w:rPr>
              <w:t xml:space="preserve">$8,539,170 $0</w:t>
            </w:r>
          </w:p>
        </w:tc>
        <w:tc>
          <w:tcPr>
            <w:tcW w:w="991" w:type="dxa"/>
            <w:tcBorders>
              <w:top w:val="single" w:sz="9" w:color="000000"/>
              <w:left w:val="single" w:sz="5" w:color="000000"/>
              <w:bottom w:val="single" w:sz="9" w:color="000000"/>
              <w:right w:val="single" w:sz="5" w:color="000000"/>
            </w:tcBorders>
            <w:vAlign w:val="top"/>
          </w:tcPr>
          <w:p>
            <w:pPr>
              <w:spacing w:before="0" w:after="16" w:line="259" w:lineRule="auto"/>
              <w:ind w:left="0" w:right="5" w:firstLine="0"/>
              <w:jc w:val="right"/>
            </w:pPr>
            <w:r>
              <w:rPr>
                <w:rFonts w:cs="Calibri" w:hAnsi="Calibri" w:eastAsia="Calibri" w:ascii="Calibri"/>
                <w:b w:val="1"/>
                <w:sz w:val="12"/>
              </w:rPr>
              <w:t xml:space="preserve">$6,699,242</w:t>
            </w:r>
          </w:p>
          <w:p>
            <w:pPr>
              <w:spacing w:before="0" w:after="16" w:line="259" w:lineRule="auto"/>
              <w:ind w:left="0" w:right="5" w:firstLine="0"/>
              <w:jc w:val="right"/>
            </w:pPr>
            <w:r>
              <w:rPr>
                <w:rFonts w:cs="Calibri" w:hAnsi="Calibri" w:eastAsia="Calibri" w:ascii="Calibri"/>
                <w:sz w:val="12"/>
              </w:rPr>
              <w:t xml:space="preserve">$468,947</w:t>
            </w:r>
          </w:p>
          <w:p>
            <w:pPr>
              <w:spacing w:before="0" w:after="0" w:line="259" w:lineRule="auto"/>
              <w:ind w:left="830" w:right="0" w:hanging="403"/>
              <w:jc w:val="left"/>
            </w:pPr>
            <w:r>
              <w:rPr>
                <w:rFonts w:cs="Calibri" w:hAnsi="Calibri" w:eastAsia="Calibri" w:ascii="Calibri"/>
                <w:b w:val="1"/>
                <w:sz w:val="12"/>
              </w:rPr>
              <w:t xml:space="preserve">$7,168,189 $0</w:t>
            </w:r>
          </w:p>
        </w:tc>
        <w:tc>
          <w:tcPr>
            <w:tcW w:w="859" w:type="dxa"/>
            <w:tcBorders>
              <w:top w:val="single" w:sz="9" w:color="000000"/>
              <w:left w:val="single" w:sz="5" w:color="000000"/>
              <w:bottom w:val="single" w:sz="9" w:color="000000"/>
              <w:right w:val="single" w:sz="9" w:color="000000"/>
            </w:tcBorders>
            <w:vAlign w:val="top"/>
          </w:tcPr>
          <w:p>
            <w:pPr>
              <w:spacing w:before="0" w:after="16" w:line="259" w:lineRule="auto"/>
              <w:ind w:left="0" w:right="5" w:firstLine="0"/>
              <w:jc w:val="right"/>
            </w:pPr>
            <w:r>
              <w:rPr>
                <w:rFonts w:cs="Calibri" w:hAnsi="Calibri" w:eastAsia="Calibri" w:ascii="Calibri"/>
                <w:b w:val="1"/>
                <w:sz w:val="12"/>
              </w:rPr>
              <w:t xml:space="preserve">$18,324,284</w:t>
            </w:r>
          </w:p>
          <w:p>
            <w:pPr>
              <w:spacing w:before="0" w:after="16" w:line="259" w:lineRule="auto"/>
              <w:ind w:left="0" w:right="5" w:firstLine="0"/>
              <w:jc w:val="right"/>
            </w:pPr>
            <w:r>
              <w:rPr>
                <w:rFonts w:cs="Calibri" w:hAnsi="Calibri" w:eastAsia="Calibri" w:ascii="Calibri"/>
                <w:sz w:val="12"/>
              </w:rPr>
              <w:t xml:space="preserve">$1,282,700</w:t>
            </w:r>
          </w:p>
          <w:p>
            <w:pPr>
              <w:spacing w:before="0" w:after="0" w:line="259" w:lineRule="auto"/>
              <w:ind w:left="294" w:right="0" w:hanging="57"/>
              <w:jc w:val="left"/>
            </w:pPr>
            <w:r>
              <w:rPr>
                <w:rFonts w:cs="Calibri" w:hAnsi="Calibri" w:eastAsia="Calibri" w:ascii="Calibri"/>
                <w:b w:val="1"/>
                <w:sz w:val="12"/>
              </w:rPr>
              <w:t xml:space="preserve">$19,606,984 $1,000,000</w:t>
            </w:r>
          </w:p>
        </w:tc>
        <w:tc>
          <w:tcPr>
            <w:vMerge w:val="continue"/>
            <w:tcBorders>
              <w:top w:val="nil"/>
              <w:left w:val="single" w:sz="9" w:color="000000"/>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878" w:type="dxa"/>
            <w:tcBorders>
              <w:top w:val="single" w:sz="9" w:color="000000"/>
              <w:left w:val="single" w:sz="9" w:color="000000"/>
              <w:bottom w:val="single" w:sz="9" w:color="000000"/>
              <w:right w:val="single" w:sz="5" w:color="000000"/>
            </w:tcBorders>
            <w:vAlign w:val="top"/>
          </w:tcPr>
          <w:p>
            <w:pPr>
              <w:spacing w:before="0" w:after="16" w:line="259" w:lineRule="auto"/>
              <w:ind w:left="0" w:right="5" w:firstLine="0"/>
              <w:jc w:val="right"/>
            </w:pPr>
            <w:r>
              <w:rPr>
                <w:rFonts w:cs="Calibri" w:hAnsi="Calibri" w:eastAsia="Calibri" w:ascii="Calibri"/>
                <w:b w:val="1"/>
                <w:sz w:val="12"/>
              </w:rPr>
              <w:t xml:space="preserve">€ 2,751,605</w:t>
            </w:r>
          </w:p>
          <w:p>
            <w:pPr>
              <w:spacing w:before="0" w:after="16" w:line="259" w:lineRule="auto"/>
              <w:ind w:left="0" w:right="5" w:firstLine="0"/>
              <w:jc w:val="right"/>
            </w:pPr>
            <w:r>
              <w:rPr>
                <w:rFonts w:cs="Calibri" w:hAnsi="Calibri" w:eastAsia="Calibri" w:ascii="Calibri"/>
                <w:sz w:val="12"/>
              </w:rPr>
              <w:t xml:space="preserve">€ 192,612</w:t>
            </w:r>
          </w:p>
          <w:p>
            <w:pPr>
              <w:spacing w:before="0" w:after="0" w:line="259" w:lineRule="auto"/>
              <w:ind w:left="229" w:right="5" w:firstLine="0"/>
              <w:jc w:val="right"/>
            </w:pPr>
            <w:r>
              <w:rPr>
                <w:rFonts w:cs="Calibri" w:hAnsi="Calibri" w:eastAsia="Calibri" w:ascii="Calibri"/>
                <w:b w:val="1"/>
                <w:sz w:val="12"/>
              </w:rPr>
              <w:t xml:space="preserve">€ 2,944,217 € 755,000</w:t>
            </w:r>
          </w:p>
        </w:tc>
        <w:tc>
          <w:tcPr>
            <w:tcW w:w="888" w:type="dxa"/>
            <w:tcBorders>
              <w:top w:val="single" w:sz="9" w:color="000000"/>
              <w:left w:val="single" w:sz="5" w:color="000000"/>
              <w:bottom w:val="single" w:sz="9" w:color="000000"/>
              <w:right w:val="single" w:sz="5" w:color="000000"/>
            </w:tcBorders>
            <w:vAlign w:val="top"/>
          </w:tcPr>
          <w:p>
            <w:pPr>
              <w:spacing w:before="0" w:after="16" w:line="259" w:lineRule="auto"/>
              <w:ind w:left="0" w:right="5" w:firstLine="0"/>
              <w:jc w:val="right"/>
            </w:pPr>
            <w:r>
              <w:rPr>
                <w:rFonts w:cs="Calibri" w:hAnsi="Calibri" w:eastAsia="Calibri" w:ascii="Calibri"/>
                <w:b w:val="1"/>
                <w:sz w:val="12"/>
              </w:rPr>
              <w:t xml:space="preserve">€ 6,025,302</w:t>
            </w:r>
          </w:p>
          <w:p>
            <w:pPr>
              <w:spacing w:before="0" w:after="16" w:line="259" w:lineRule="auto"/>
              <w:ind w:left="0" w:right="5" w:firstLine="0"/>
              <w:jc w:val="right"/>
            </w:pPr>
            <w:r>
              <w:rPr>
                <w:rFonts w:cs="Calibri" w:hAnsi="Calibri" w:eastAsia="Calibri" w:ascii="Calibri"/>
                <w:sz w:val="12"/>
              </w:rPr>
              <w:t xml:space="preserve">€ 421,771</w:t>
            </w:r>
          </w:p>
          <w:p>
            <w:pPr>
              <w:spacing w:before="0" w:after="0" w:line="259" w:lineRule="auto"/>
              <w:ind w:left="700" w:right="0" w:hanging="403"/>
              <w:jc w:val="left"/>
            </w:pPr>
            <w:r>
              <w:rPr>
                <w:rFonts w:cs="Calibri" w:hAnsi="Calibri" w:eastAsia="Calibri" w:ascii="Calibri"/>
                <w:b w:val="1"/>
                <w:sz w:val="12"/>
              </w:rPr>
              <w:t xml:space="preserve">€ 6,447,073 € 0</w:t>
            </w:r>
          </w:p>
        </w:tc>
        <w:tc>
          <w:tcPr>
            <w:tcW w:w="926" w:type="dxa"/>
            <w:tcBorders>
              <w:top w:val="single" w:sz="9" w:color="000000"/>
              <w:left w:val="single" w:sz="5" w:color="000000"/>
              <w:bottom w:val="single" w:sz="9" w:color="000000"/>
              <w:right w:val="single" w:sz="9" w:color="000000"/>
            </w:tcBorders>
            <w:vAlign w:val="top"/>
          </w:tcPr>
          <w:p>
            <w:pPr>
              <w:spacing w:before="0" w:after="16" w:line="259" w:lineRule="auto"/>
              <w:ind w:left="0" w:right="5" w:firstLine="0"/>
              <w:jc w:val="right"/>
            </w:pPr>
            <w:r>
              <w:rPr>
                <w:rFonts w:cs="Calibri" w:hAnsi="Calibri" w:eastAsia="Calibri" w:ascii="Calibri"/>
                <w:b w:val="1"/>
                <w:sz w:val="12"/>
              </w:rPr>
              <w:t xml:space="preserve">€ 5,057,928</w:t>
            </w:r>
          </w:p>
          <w:p>
            <w:pPr>
              <w:spacing w:before="0" w:after="16" w:line="259" w:lineRule="auto"/>
              <w:ind w:left="0" w:right="5" w:firstLine="0"/>
              <w:jc w:val="right"/>
            </w:pPr>
            <w:r>
              <w:rPr>
                <w:rFonts w:cs="Calibri" w:hAnsi="Calibri" w:eastAsia="Calibri" w:ascii="Calibri"/>
                <w:sz w:val="12"/>
              </w:rPr>
              <w:t xml:space="preserve">€ 354,055</w:t>
            </w:r>
          </w:p>
          <w:p>
            <w:pPr>
              <w:spacing w:before="0" w:after="0" w:line="259" w:lineRule="auto"/>
              <w:ind w:left="738" w:right="0" w:hanging="403"/>
              <w:jc w:val="left"/>
            </w:pPr>
            <w:r>
              <w:rPr>
                <w:rFonts w:cs="Calibri" w:hAnsi="Calibri" w:eastAsia="Calibri" w:ascii="Calibri"/>
                <w:b w:val="1"/>
                <w:sz w:val="12"/>
              </w:rPr>
              <w:t xml:space="preserve">€ 5,411,983 € 0</w:t>
            </w:r>
          </w:p>
        </w:tc>
        <w:tc>
          <w:tcPr>
            <w:tcW w:w="888" w:type="dxa"/>
            <w:tcBorders>
              <w:top w:val="single" w:sz="9" w:color="000000"/>
              <w:left w:val="single" w:sz="9" w:color="000000"/>
              <w:bottom w:val="single" w:sz="9" w:color="000000"/>
              <w:right w:val="single" w:sz="9" w:color="000000"/>
            </w:tcBorders>
            <w:vAlign w:val="top"/>
          </w:tcPr>
          <w:p>
            <w:pPr>
              <w:spacing w:before="0" w:after="16" w:line="259" w:lineRule="auto"/>
              <w:ind w:left="0" w:right="5" w:firstLine="0"/>
              <w:jc w:val="right"/>
            </w:pPr>
            <w:r>
              <w:rPr>
                <w:rFonts w:cs="Calibri" w:hAnsi="Calibri" w:eastAsia="Calibri" w:ascii="Calibri"/>
                <w:b w:val="1"/>
                <w:sz w:val="12"/>
              </w:rPr>
              <w:t xml:space="preserve">€ 13,834,835</w:t>
            </w:r>
          </w:p>
          <w:p>
            <w:pPr>
              <w:spacing w:before="0" w:after="16" w:line="259" w:lineRule="auto"/>
              <w:ind w:left="0" w:right="5" w:firstLine="0"/>
              <w:jc w:val="right"/>
            </w:pPr>
            <w:r>
              <w:rPr>
                <w:rFonts w:cs="Calibri" w:hAnsi="Calibri" w:eastAsia="Calibri" w:ascii="Calibri"/>
                <w:sz w:val="12"/>
              </w:rPr>
              <w:t xml:space="preserve">€ 968,438</w:t>
            </w:r>
          </w:p>
          <w:p>
            <w:pPr>
              <w:spacing w:before="0" w:after="0" w:line="259" w:lineRule="auto"/>
              <w:ind w:left="181" w:right="5" w:firstLine="0"/>
              <w:jc w:val="right"/>
            </w:pPr>
            <w:r>
              <w:rPr>
                <w:rFonts w:cs="Calibri" w:hAnsi="Calibri" w:eastAsia="Calibri" w:ascii="Calibri"/>
                <w:b w:val="1"/>
                <w:sz w:val="12"/>
              </w:rPr>
              <w:t xml:space="preserve">€ 14,803,273 € 755,000</w:t>
            </w:r>
          </w:p>
        </w:tc>
      </w:tr>
      <w:tr>
        <w:trPr>
          <w:trHeight w:val="178" w:hRule="atLeast"/>
        </w:trPr>
        <w:tc>
          <w:tcPr>
            <w:tcW w:w="7291" w:type="dxa"/>
            <w:gridSpan w:val="2"/>
            <w:tcBorders>
              <w:top w:val="single" w:sz="9" w:color="000000"/>
              <w:left w:val="single" w:sz="9" w:color="000000"/>
              <w:bottom w:val="single" w:sz="9" w:color="000000"/>
              <w:right w:val="single" w:sz="5" w:color="000000"/>
            </w:tcBorders>
            <w:shd w:val="clear" w:fill="e6b8b8"/>
            <w:vAlign w:val="top"/>
          </w:tcPr>
          <w:p>
            <w:pPr>
              <w:tabs>
                <w:tab w:val="center" w:pos="5921"/>
                <w:tab w:val="right" w:pos="7251"/>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2"/>
              </w:rPr>
              <w:t xml:space="preserve">PROJECT TOTALS:	</w:t>
            </w:r>
            <w:r>
              <w:rPr>
                <w:rFonts w:cs="Calibri" w:hAnsi="Calibri" w:eastAsia="Calibri" w:ascii="Calibri"/>
                <w:b w:val="1"/>
                <w:sz w:val="12"/>
              </w:rPr>
              <w:t xml:space="preserve">$4,899,625</w:t>
            </w:r>
          </w:p>
        </w:tc>
        <w:tc>
          <w:tcPr>
            <w:tcW w:w="907" w:type="dxa"/>
            <w:tcBorders>
              <w:top w:val="single" w:sz="9" w:color="000000"/>
              <w:left w:val="single" w:sz="5" w:color="000000"/>
              <w:bottom w:val="single" w:sz="9" w:color="000000"/>
              <w:right w:val="single" w:sz="5" w:color="000000"/>
            </w:tcBorders>
            <w:shd w:val="clear" w:fill="e6b8b8"/>
            <w:vAlign w:val="top"/>
          </w:tcPr>
          <w:p>
            <w:pPr>
              <w:spacing w:before="0" w:after="0" w:line="259" w:lineRule="auto"/>
              <w:ind w:left="0" w:right="6" w:firstLine="0"/>
              <w:jc w:val="right"/>
            </w:pPr>
            <w:r>
              <w:rPr>
                <w:rFonts w:cs="Calibri" w:hAnsi="Calibri" w:eastAsia="Calibri" w:ascii="Calibri"/>
                <w:b w:val="1"/>
                <w:sz w:val="12"/>
              </w:rPr>
              <w:t xml:space="preserve">$8,539,170</w:t>
            </w:r>
          </w:p>
        </w:tc>
        <w:tc>
          <w:tcPr>
            <w:tcW w:w="1850" w:type="dxa"/>
            <w:gridSpan w:val="2"/>
            <w:tcBorders>
              <w:top w:val="single" w:sz="9" w:color="000000"/>
              <w:left w:val="single" w:sz="5" w:color="000000"/>
              <w:bottom w:val="single" w:sz="9" w:color="000000"/>
              <w:right w:val="single" w:sz="9" w:color="000000"/>
            </w:tcBorders>
            <w:shd w:val="clear" w:fill="e6b8b8"/>
            <w:vAlign w:val="top"/>
          </w:tcPr>
          <w:p>
            <w:pPr>
              <w:tabs>
                <w:tab w:val="center" w:pos="686"/>
                <w:tab w:val="right" w:pos="1810"/>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2"/>
              </w:rPr>
              <w:t xml:space="preserve">$7,168,189	$20,606,984</w:t>
            </w:r>
          </w:p>
        </w:tc>
        <w:tc>
          <w:tcPr>
            <w:vMerge w:val="continue"/>
            <w:tcBorders>
              <w:top w:val="nil"/>
              <w:left w:val="single" w:sz="9" w:color="000000"/>
              <w:bottom w:val="nil"/>
              <w:right w:val="nil"/>
            </w:tcBorders>
            <w:vAlign w:val="top"/>
          </w:tcPr>
          <w:p>
            <w:pPr>
              <w:bidi w:val="0"/>
              <w:spacing w:before="0" w:after="160" w:line="259" w:lineRule="auto"/>
              <w:ind w:left="0" w:right="0" w:firstLine="0"/>
              <w:jc w:val="left"/>
            </w:pPr>
          </w:p>
        </w:tc>
        <w:tc>
          <w:tcPr>
            <w:vMerge w:val="continue"/>
            <w:tcBorders>
              <w:top w:val="nil"/>
              <w:left w:val="nil"/>
              <w:bottom w:val="nil"/>
              <w:right w:val="single" w:sz="9" w:color="000000"/>
            </w:tcBorders>
            <w:vAlign w:val="top"/>
          </w:tcPr>
          <w:p>
            <w:pPr>
              <w:bidi w:val="0"/>
              <w:spacing w:before="0" w:after="160" w:line="259" w:lineRule="auto"/>
              <w:ind w:left="0" w:right="0" w:firstLine="0"/>
              <w:jc w:val="left"/>
            </w:pPr>
          </w:p>
        </w:tc>
        <w:tc>
          <w:tcPr>
            <w:tcW w:w="2693" w:type="dxa"/>
            <w:gridSpan w:val="3"/>
            <w:tcBorders>
              <w:top w:val="single" w:sz="9" w:color="000000"/>
              <w:left w:val="single" w:sz="9" w:color="000000"/>
              <w:bottom w:val="single" w:sz="9" w:color="000000"/>
              <w:right w:val="single" w:sz="9" w:color="000000"/>
            </w:tcBorders>
            <w:shd w:val="clear" w:fill="e6b8b8"/>
            <w:vAlign w:val="top"/>
          </w:tcPr>
          <w:p>
            <w:pPr>
              <w:tabs>
                <w:tab w:val="center" w:pos="560"/>
                <w:tab w:val="center" w:pos="1448"/>
                <w:tab w:val="right" w:pos="2653"/>
              </w:tabs>
              <w:spacing w:before="0" w:after="0" w:line="259" w:lineRule="auto"/>
              <w:ind w:left="0" w:right="0" w:firstLine="0"/>
              <w:jc w:val="left"/>
            </w:pPr>
            <w:r>
              <w:rPr>
                <w:rFonts w:cs="Calibri" w:hAnsi="Calibri" w:eastAsia="Calibri" w:ascii="Calibri"/>
                <w:sz w:val="22"/>
              </w:rPr>
              <w:t xml:space="preserve">	</w:t>
            </w:r>
            <w:r>
              <w:rPr>
                <w:rFonts w:cs="Calibri" w:hAnsi="Calibri" w:eastAsia="Calibri" w:ascii="Calibri"/>
                <w:b w:val="1"/>
                <w:sz w:val="12"/>
              </w:rPr>
              <w:t xml:space="preserve">€ 3,699,217	€ 6,447,073	€ 5,411,983</w:t>
            </w:r>
          </w:p>
        </w:tc>
        <w:tc>
          <w:tcPr>
            <w:tcW w:w="888" w:type="dxa"/>
            <w:tcBorders>
              <w:top w:val="single" w:sz="9" w:color="000000"/>
              <w:left w:val="single" w:sz="9" w:color="000000"/>
              <w:bottom w:val="single" w:sz="9" w:color="000000"/>
              <w:right w:val="single" w:sz="9" w:color="000000"/>
            </w:tcBorders>
            <w:shd w:val="clear" w:fill="e6b8b8"/>
            <w:vAlign w:val="top"/>
          </w:tcPr>
          <w:p>
            <w:pPr>
              <w:spacing w:before="0" w:after="0" w:line="259" w:lineRule="auto"/>
              <w:ind w:left="0" w:right="6" w:firstLine="0"/>
              <w:jc w:val="right"/>
            </w:pPr>
            <w:r>
              <w:rPr>
                <w:rFonts w:cs="Calibri" w:hAnsi="Calibri" w:eastAsia="Calibri" w:ascii="Calibri"/>
                <w:b w:val="1"/>
                <w:sz w:val="12"/>
              </w:rPr>
              <w:t xml:space="preserve">€ 15,558,273</w:t>
            </w:r>
          </w:p>
        </w:tc>
      </w:tr>
    </w:tbl>
    <w:p>
      <w:pPr>
        <w:tabs>
          <w:tab w:val="center" w:pos="1230"/>
        </w:tabs>
        <w:spacing w:before="0" w:after="0" w:line="259" w:lineRule="auto"/>
        <w:ind w:left="0" w:right="0" w:firstLine="0"/>
        <w:jc w:val="left"/>
      </w:pPr>
      <w:r>
        <w:rPr>
          <w:rFonts w:cs="Calibri" w:hAnsi="Calibri" w:eastAsia="Calibri" w:ascii="Calibri"/>
          <w:b w:val="1"/>
          <w:sz w:val="12"/>
        </w:rPr>
        <w:t xml:space="preserve">**	</w:t>
      </w:r>
      <w:r>
        <w:rPr>
          <w:rFonts w:cs="Calibri" w:hAnsi="Calibri" w:eastAsia="Calibri" w:ascii="Calibri"/>
          <w:b w:val="1"/>
          <w:sz w:val="12"/>
        </w:rPr>
        <w:t xml:space="preserve">UNDP parallel funding from core-resources </w:t>
      </w:r>
    </w:p>
    <w:p>
      <w:pPr>
        <w:sectPr>
          <w:headerReference w:type="even" r:id="rId101"/>
          <w:headerReference w:type="default" r:id="rId99"/>
          <w:headerReference w:type="first" r:id="rId97"/>
          <w:footerReference w:type="even" r:id="rId102"/>
          <w:footerReference w:type="default" r:id="rId100"/>
          <w:footerReference w:type="first" r:id="rId98"/>
          <w:pgSz w:w="16836" w:h="11904" w:orient="landscape"/>
          <w:pgMar w:left="1742" w:top="1866" w:right="3982" w:bottom="1964"/>
          <w:cols/>
        </w:sectPr>
      </w:pPr>
    </w:p>
    <w:p>
      <w:pPr>
        <w:spacing w:before="0" w:after="0" w:line="259" w:lineRule="auto"/>
        <w:ind w:left="-1440" w:right="10480" w:firstLine="0"/>
        <w:jc w:val="left"/>
      </w:pPr>
      <w:r>
        <w:drawing>
          <wp:anchor allowOverlap="0" relativeHeight="0" locked="0" simplePos="0" layoutInCell="1" behindDoc="0">
            <wp:simplePos y="0" x="0"/>
            <wp:positionH relativeFrom="page">
              <wp:posOffset>0</wp:posOffset>
            </wp:positionH>
            <wp:positionV relativeFrom="page">
              <wp:posOffset>50800</wp:posOffset>
            </wp:positionV>
            <wp:extent cx="7568185" cy="10594848"/>
            <wp:effectExtent l="0" t="0" r="0" b="0"/>
            <wp:wrapTopAndBottom/>
            <wp:docPr id="162006" name="Picture 162006"/>
            <wp:cNvGraphicFramePr/>
            <a:graphic>
              <a:graphicData uri="http://schemas.openxmlformats.org/drawingml/2006/picture">
                <pic:pic xmlns:pic="http://schemas.openxmlformats.org/drawingml/2006/picture">
                  <pic:nvPicPr>
                    <pic:cNvPr id="162006" name="Picture 162006"/>
                    <pic:cNvPicPr/>
                  </pic:nvPicPr>
                  <pic:blipFill>
                    <a:blip r:embed="rId126"/>
                    <a:stretch>
                      <a:fillRect/>
                    </a:stretch>
                  </pic:blipFill>
                  <pic:spPr>
                    <a:xfrm>
                      <a:off x="0" y="0"/>
                      <a:ext cx="7568185" cy="10594848"/>
                    </a:xfrm>
                    <a:prstGeom prst="rect">
                      <a:avLst/>
                    </a:prstGeom>
                  </pic:spPr>
                </pic:pic>
              </a:graphicData>
            </a:graphic>
          </wp:anchor>
        </w:drawing>
      </w:r>
    </w:p>
    <w:sectPr>
      <w:headerReference w:type="even" r:id="rId107"/>
      <w:headerReference w:type="default" r:id="rId105"/>
      <w:headerReference w:type="first" r:id="rId103"/>
      <w:footerReference w:type="even" r:id="rId108"/>
      <w:footerReference w:type="default" r:id="rId106"/>
      <w:footerReference w:type="first" r:id="rId104"/>
      <w:pgSz w:w="11920" w:h="16840" w:orient="portrait"/>
      <w:pgMar w:left="1440" w:top="1440" w:right="1440" w:bottom="1440"/>
      <w:cols/>
    </w:sectPr>
  </w:body>
</w:document>
</file>

<file path=word/footer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1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1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1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81"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0" w:right="0" w:firstLine="0"/>
      <w:jc w:val="left"/>
    </w:pPr>
    <w:r>
      <w:rPr>
        <w:rFonts w:cs="Arial" w:hAnsi="Arial" w:eastAsia="Arial" w:ascii="Arial"/>
        <w:b w:val="1"/>
      </w:rPr>
      <w:t xml:space="preserve"> </w:t>
    </w:r>
  </w:p>
</w:ftr>
</file>

<file path=word/footer1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764"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0" w:right="0" w:firstLine="0"/>
      <w:jc w:val="left"/>
    </w:pPr>
    <w:r>
      <w:rPr>
        <w:rFonts w:cs="Arial" w:hAnsi="Arial" w:eastAsia="Arial" w:ascii="Arial"/>
        <w:b w:val="1"/>
      </w:rPr>
      <w:t xml:space="preserve"> </w:t>
    </w:r>
  </w:p>
</w:ftr>
</file>

<file path=word/footer1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764"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0" w:right="0" w:firstLine="0"/>
      <w:jc w:val="left"/>
    </w:pPr>
    <w:r>
      <w:rPr>
        <w:rFonts w:cs="Arial" w:hAnsi="Arial" w:eastAsia="Arial" w:ascii="Arial"/>
        <w:b w:val="1"/>
      </w:rPr>
      <w:t xml:space="preserve"> </w:t>
    </w:r>
  </w:p>
</w:ftr>
</file>

<file path=word/footer1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764"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0" w:right="0" w:firstLine="0"/>
      <w:jc w:val="left"/>
    </w:pPr>
    <w:r>
      <w:rPr>
        <w:rFonts w:cs="Arial" w:hAnsi="Arial" w:eastAsia="Arial" w:ascii="Arial"/>
        <w:b w:val="1"/>
      </w:rPr>
      <w:t xml:space="preserve"> </w:t>
    </w:r>
  </w:p>
</w:ftr>
</file>

<file path=word/footer1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1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1" w:right="0" w:firstLine="0"/>
      <w:jc w:val="left"/>
    </w:pPr>
    <w:r>
      <w:rPr>
        <w:rFonts w:cs="Arial" w:hAnsi="Arial" w:eastAsia="Arial" w:ascii="Arial"/>
        <w:b w:val="1"/>
      </w:rPr>
      <w:t xml:space="preserve"> </w:t>
    </w:r>
  </w:p>
</w:ftr>
</file>

<file path=word/footer1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jc w:val="right"/>
    </w:pPr>
    <w:fldSimple w:instr=" PAGE   \* MERGEFORMAT ">
      <w:r>
        <w:rPr>
          <w:rFonts w:cs="Arial" w:hAnsi="Arial" w:eastAsia="Arial" w:ascii="Arial"/>
          <w:b w:val="1"/>
          <w:sz w:val="16"/>
        </w:rPr>
        <w:t xml:space="preserve">2</w:t>
      </w:r>
    </w:fldSimple>
    <w:r>
      <w:rPr>
        <w:rFonts w:cs="Arial" w:hAnsi="Arial" w:eastAsia="Arial" w:ascii="Arial"/>
        <w:b w:val="1"/>
      </w:rPr>
      <w:t xml:space="preserve"> </w:t>
    </w:r>
  </w:p>
  <w:p>
    <w:pPr>
      <w:spacing w:before="0" w:after="0" w:line="259" w:lineRule="auto"/>
      <w:ind w:left="1" w:right="0" w:firstLine="0"/>
      <w:jc w:val="left"/>
    </w:pPr>
    <w:r>
      <w:rPr>
        <w:rFonts w:cs="Arial" w:hAnsi="Arial" w:eastAsia="Arial" w:ascii="Arial"/>
        <w:b w:val="1"/>
      </w:rPr>
      <w:t xml:space="preserve"> </w:t>
    </w:r>
  </w:p>
</w:ftr>
</file>

<file path=word/footer1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5400"/>
      </w:tabs>
      <w:spacing w:before="0" w:after="0" w:line="259" w:lineRule="auto"/>
      <w:ind w:left="0" w:right="-1" w:firstLine="0"/>
      <w:jc w:val="left"/>
    </w:pPr>
    <w:r>
      <w:rPr>
        <w:sz w:val="20"/>
      </w:rPr>
      <w:t xml:space="preserve"> 	</w:t>
    </w:r>
    <w:fldSimple w:instr=" PAGE   \* MERGEFORMAT ">
      <w:r>
        <w:rPr>
          <w:rFonts w:cs="Arial" w:hAnsi="Arial" w:eastAsia="Arial" w:ascii="Arial"/>
        </w:rPr>
        <w:t xml:space="preserve">70</w:t>
      </w:r>
    </w:fldSimple>
    <w:r>
      <w:rPr>
        <w:rFonts w:cs="Arial" w:hAnsi="Arial" w:eastAsia="Arial" w:ascii="Arial"/>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ftr>
</file>

<file path=word/footer2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5400"/>
      </w:tabs>
      <w:spacing w:before="0" w:after="0" w:line="259" w:lineRule="auto"/>
      <w:ind w:left="0" w:right="-1" w:firstLine="0"/>
      <w:jc w:val="left"/>
    </w:pPr>
    <w:r>
      <w:rPr>
        <w:sz w:val="20"/>
      </w:rPr>
      <w:t xml:space="preserve"> 	</w:t>
    </w:r>
    <w:fldSimple w:instr=" PAGE   \* MERGEFORMAT ">
      <w:r>
        <w:rPr>
          <w:rFonts w:cs="Arial" w:hAnsi="Arial" w:eastAsia="Arial" w:ascii="Arial"/>
        </w:rPr>
        <w:t xml:space="preserve">70</w:t>
      </w:r>
    </w:fldSimple>
    <w:r>
      <w:rPr>
        <w:rFonts w:cs="Arial" w:hAnsi="Arial" w:eastAsia="Arial" w:ascii="Arial"/>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ftr>
</file>

<file path=word/footer2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right" w:pos="15400"/>
      </w:tabs>
      <w:spacing w:before="0" w:after="0" w:line="259" w:lineRule="auto"/>
      <w:ind w:left="0" w:right="-1" w:firstLine="0"/>
      <w:jc w:val="left"/>
    </w:pPr>
    <w:r>
      <w:rPr>
        <w:sz w:val="20"/>
      </w:rPr>
      <w:t xml:space="preserve"> 	</w:t>
    </w:r>
    <w:fldSimple w:instr=" PAGE   \* MERGEFORMAT ">
      <w:r>
        <w:rPr>
          <w:rFonts w:cs="Arial" w:hAnsi="Arial" w:eastAsia="Arial" w:ascii="Arial"/>
        </w:rPr>
        <w:t xml:space="preserve">70</w:t>
      </w:r>
    </w:fldSimple>
    <w:r>
      <w:rPr>
        <w:rFonts w:cs="Arial" w:hAnsi="Arial" w:eastAsia="Arial" w:ascii="Arial"/>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p>
    <w:pPr>
      <w:spacing w:before="0" w:after="0" w:line="259" w:lineRule="auto"/>
      <w:ind w:left="0" w:right="0" w:firstLine="0"/>
      <w:jc w:val="left"/>
    </w:pPr>
    <w:r>
      <w:rPr>
        <w:sz w:val="20"/>
      </w:rPr>
      <w:t xml:space="preserve"> </w:t>
    </w:r>
  </w:p>
</w:ftr>
</file>

<file path=word/footer2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2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195" w:firstLine="0"/>
      <w:jc w:val="right"/>
    </w:pPr>
    <w:r>
      <w:rPr>
        <w:rFonts w:cs="Calibri" w:hAnsi="Calibri" w:eastAsia="Calibri" w:ascii="Calibri"/>
        <w:sz w:val="20"/>
      </w:rPr>
      <w:t xml:space="preserve">7/1/13</w:t>
    </w:r>
  </w:p>
</w:ftr>
</file>

<file path=word/footer2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195" w:firstLine="0"/>
      <w:jc w:val="right"/>
    </w:pPr>
    <w:r>
      <w:rPr>
        <w:rFonts w:cs="Calibri" w:hAnsi="Calibri" w:eastAsia="Calibri" w:ascii="Calibri"/>
        <w:sz w:val="20"/>
      </w:rPr>
      <w:t xml:space="preserve">7/1/13</w:t>
    </w:r>
  </w:p>
</w:ftr>
</file>

<file path=word/footer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3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195" w:firstLine="0"/>
      <w:jc w:val="right"/>
    </w:pPr>
    <w:r>
      <w:rPr>
        <w:rFonts w:cs="Calibri" w:hAnsi="Calibri" w:eastAsia="Calibri" w:ascii="Calibri"/>
        <w:sz w:val="20"/>
      </w:rPr>
      <w:t xml:space="preserve">7/1/13</w:t>
    </w:r>
  </w:p>
</w:ftr>
</file>

<file path=word/footer3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tabs>
        <w:tab w:val="center" w:pos="6960"/>
        <w:tab w:val="right" w:pos="15071"/>
      </w:tabs>
      <w:spacing w:before="0" w:after="0" w:line="259" w:lineRule="auto"/>
      <w:ind w:left="0" w:right="-1115" w:firstLine="0"/>
      <w:jc w:val="left"/>
    </w:pPr>
    <w:r>
      <w:rPr>
        <w:rFonts w:cs="Calibri" w:hAnsi="Calibri" w:eastAsia="Calibri" w:ascii="Calibri"/>
        <w:sz w:val="22"/>
      </w:rPr>
      <w:t xml:space="preserve">	</w:t>
    </w:r>
    <w:fldSimple w:instr=" PAGE   \* MERGEFORMAT ">
      <w:r>
        <w:rPr>
          <w:sz w:val="14"/>
        </w:rPr>
        <w:t xml:space="preserve">1</w:t>
      </w:r>
    </w:fldSimple>
    <w:r>
      <w:rPr>
        <w:sz w:val="14"/>
      </w:rPr>
      <w:t xml:space="preserve"> of 4	</w:t>
    </w:r>
    <w:r>
      <w:rPr>
        <w:sz w:val="14"/>
      </w:rPr>
      <w:t xml:space="preserve">6/7/2013</w:t>
    </w:r>
  </w:p>
</w:ftr>
</file>

<file path=word/footer3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3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3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fldSimple w:instr=" PAGE   \* MERGEFORMAT ">
      <w:r>
        <w:rPr>
          <w:rFonts w:cs="Times New Roman" w:hAnsi="Times New Roman" w:eastAsia="Times New Roman" w:ascii="Times New Roman"/>
          <w:sz w:val="18"/>
        </w:rPr>
        <w:t xml:space="preserve">2</w:t>
      </w:r>
    </w:fldSimple>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20"/>
      </w:rPr>
      <w:t xml:space="preserve">c4b_contribution_agr_gc_en.doc</w:t>
    </w:r>
    <w:r>
      <w:rPr>
        <w:rFonts w:cs="Times New Roman" w:hAnsi="Times New Roman" w:eastAsia="Times New Roman" w:ascii="Times New Roman"/>
        <w:sz w:val="20"/>
      </w:rPr>
      <w:t xml:space="preserve"> </w:t>
    </w:r>
  </w:p>
</w:ftr>
</file>

<file path=word/footer4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0"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fldSimple w:instr=" PAGE   \* MERGEFORMAT ">
      <w:r>
        <w:rPr>
          <w:rFonts w:cs="Times New Roman" w:hAnsi="Times New Roman" w:eastAsia="Times New Roman" w:ascii="Times New Roman"/>
          <w:sz w:val="18"/>
        </w:rPr>
        <w:t xml:space="preserve">2</w:t>
      </w:r>
    </w:fldSimple>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20"/>
      </w:rPr>
      <w:t xml:space="preserve">c4b_contribution_agr_gc_en.doc</w:t>
    </w:r>
    <w:r>
      <w:rPr>
        <w:rFonts w:cs="Times New Roman" w:hAnsi="Times New Roman" w:eastAsia="Times New Roman" w:ascii="Times New Roman"/>
        <w:sz w:val="20"/>
      </w:rPr>
      <w:t xml:space="preserve"> </w:t>
    </w:r>
  </w:p>
</w:ftr>
</file>

<file path=word/footer4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28"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fldSimple w:instr=" PAGE   \* MERGEFORMAT ">
      <w:r>
        <w:rPr>
          <w:rFonts w:cs="Times New Roman" w:hAnsi="Times New Roman" w:eastAsia="Times New Roman" w:ascii="Times New Roman"/>
          <w:sz w:val="18"/>
        </w:rPr>
        <w:t xml:space="preserve">10</w:t>
      </w:r>
    </w:fldSimple>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20"/>
      </w:rPr>
      <w:t xml:space="preserve">c4b_contribution_agr_gc_en.doc</w:t>
    </w:r>
    <w:r>
      <w:rPr>
        <w:rFonts w:cs="Times New Roman" w:hAnsi="Times New Roman" w:eastAsia="Times New Roman" w:ascii="Times New Roman"/>
        <w:sz w:val="20"/>
      </w:rPr>
      <w:t xml:space="preserve"> </w:t>
    </w:r>
  </w:p>
</w:ftr>
</file>

<file path=word/footer4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28"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fldSimple w:instr=" PAGE   \* MERGEFORMAT ">
      <w:r>
        <w:rPr>
          <w:rFonts w:cs="Times New Roman" w:hAnsi="Times New Roman" w:eastAsia="Times New Roman" w:ascii="Times New Roman"/>
          <w:sz w:val="18"/>
        </w:rPr>
        <w:t xml:space="preserve">10</w:t>
      </w:r>
    </w:fldSimple>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20"/>
      </w:rPr>
      <w:t xml:space="preserve">c4b_contribution_agr_gc_en.doc</w:t>
    </w:r>
    <w:r>
      <w:rPr>
        <w:rFonts w:cs="Times New Roman" w:hAnsi="Times New Roman" w:eastAsia="Times New Roman" w:ascii="Times New Roman"/>
        <w:sz w:val="20"/>
      </w:rPr>
      <w:t xml:space="preserve"> </w:t>
    </w:r>
  </w:p>
</w:ftr>
</file>

<file path=word/footer4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0" w:right="-28" w:firstLine="0"/>
      <w:jc w:val="left"/>
    </w:pPr>
    <w:r>
      <w:rPr>
        <w:rFonts w:cs="Times New Roman" w:hAnsi="Times New Roman" w:eastAsia="Times New Roman" w:ascii="Times New Roman"/>
        <w:b w:val="1"/>
        <w:sz w:val="20"/>
      </w:rPr>
      <w:t xml:space="preserve">March </w:t>
    </w:r>
    <w:r>
      <w:rPr>
        <w:rFonts w:cs="Times New Roman" w:hAnsi="Times New Roman" w:eastAsia="Times New Roman" w:ascii="Times New Roman"/>
        <w:b w:val="1"/>
        <w:sz w:val="20"/>
      </w:rPr>
      <w:t xml:space="preserve">2013</w:t>
    </w:r>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Page </w:t>
    </w:r>
    <w:fldSimple w:instr=" PAGE   \* MERGEFORMAT ">
      <w:r>
        <w:rPr>
          <w:rFonts w:cs="Times New Roman" w:hAnsi="Times New Roman" w:eastAsia="Times New Roman" w:ascii="Times New Roman"/>
          <w:sz w:val="18"/>
        </w:rPr>
        <w:t xml:space="preserve">10</w:t>
      </w:r>
    </w:fldSimple>
    <w:r>
      <w:rPr>
        <w:rFonts w:cs="Times New Roman" w:hAnsi="Times New Roman" w:eastAsia="Times New Roman" w:ascii="Times New Roman"/>
        <w:sz w:val="18"/>
      </w:rPr>
      <w:t xml:space="preserve"> </w:t>
    </w:r>
    <w:r>
      <w:rPr>
        <w:rFonts w:cs="Times New Roman" w:hAnsi="Times New Roman" w:eastAsia="Times New Roman" w:ascii="Times New Roman"/>
        <w:sz w:val="18"/>
      </w:rPr>
      <w:t xml:space="preserve">of </w:t>
    </w:r>
    <w:r>
      <w:rPr>
        <w:rFonts w:cs="Times New Roman" w:hAnsi="Times New Roman" w:eastAsia="Times New Roman" w:ascii="Times New Roman"/>
        <w:sz w:val="18"/>
      </w:rPr>
      <w:t xml:space="preserve">19</w:t>
    </w:r>
    <w:r>
      <w:rPr>
        <w:rFonts w:cs="Times New Roman" w:hAnsi="Times New Roman" w:eastAsia="Times New Roman" w:ascii="Times New Roman"/>
        <w:sz w:val="18"/>
      </w:rPr>
      <w:t xml:space="preserve"> </w:t>
    </w:r>
    <w:r>
      <w:rPr>
        <w:rFonts w:cs="Times New Roman" w:hAnsi="Times New Roman" w:eastAsia="Times New Roman" w:ascii="Times New Roman"/>
        <w:sz w:val="20"/>
      </w:rPr>
      <w:t xml:space="preserve">c4b_contribution_agr_gc_en.doc</w:t>
    </w:r>
    <w:r>
      <w:rPr>
        <w:rFonts w:cs="Times New Roman" w:hAnsi="Times New Roman" w:eastAsia="Times New Roman" w:ascii="Times New Roman"/>
        <w:sz w:val="20"/>
      </w:rPr>
      <w:t xml:space="preserve"> </w:t>
    </w:r>
  </w:p>
</w:ftr>
</file>

<file path=word/footer4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4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0.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1.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2.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3.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54.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6.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7.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8.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er9.xml><?xml version="1.0" encoding="utf-8"?>
<w:ft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ftr>
</file>

<file path=word/footnotes.xml><?xml version="1.0" encoding="utf-8"?>
<w:footnotes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footnote w:type="separator" w:id="-1">
    <w:p>
      <w:pPr>
        <w:spacing w:before="0" w:after="0" w:line="259" w:lineRule="auto"/>
        <w:ind w:left="0" w:right="0" w:firstLine="0"/>
        <w:jc w:val="left"/>
      </w:pPr>
      <w:r>
        <w:separator/>
      </w:r>
    </w:p>
  </w:footnote>
  <w:footnote w:type="continuationSeparator" w:id="0">
    <w:p>
      <w:pPr>
        <w:spacing w:before="0" w:after="0" w:line="259" w:lineRule="auto"/>
        <w:ind w:left="0" w:right="0" w:firstLine="0"/>
        <w:jc w:val="left"/>
      </w:pPr>
      <w:r>
        <w:continuationSeparator/>
      </w:r>
    </w:p>
  </w:footnote>
  <w:footnote w:id="109">
    <w:p>
      <w:pPr>
        <w:pStyle w:val="footnote description"/>
        <w:spacing w:before="0" w:after="0" w:line="259" w:lineRule="auto"/>
      </w:pPr>
      <w:r>
        <w:rPr>
          <w:rStyle w:val="footnote mark"/>
        </w:rPr>
        <w:footnoteRef/>
      </w:r>
      <w:r>
        <w:t xml:space="preserve"/>
      </w:r>
      <w:r>
        <w:t xml:space="preserve"> </w:t>
      </w:r>
      <w:r>
        <w:rPr/>
        <w:t xml:space="preserve">The National Strategy for Growth and Reduction of Poverty</w:t>
      </w:r>
      <w:r>
        <w:rPr/>
        <w:t xml:space="preserve"> ;</w:t>
      </w:r>
      <w:r>
        <w:rPr/>
        <w:t xml:space="preserve">(MKUKUTA) and the Zanzibar Strategy for Growth and Reduction of Poverty (MKUZA). The relevant MKUKUTA goals are:  3.1 Ensuring systems and structures of governance; uphold the rule of law and are democratic, effective, accountable, predictable, transparent, inclusive and corruption free at all levels; 3.3 Promoting and protecting human rights for all […]; and 3.4 Ensuring national and personal security […]. The relevant MKUZA goals are</w:t>
      </w:r>
      <w:r>
        <w:rPr>
          <w:rFonts w:cs="Calibri" w:hAnsi="Calibri" w:eastAsia="Calibri" w:ascii="Calibri"/>
          <w:b w:val="1"/>
        </w:rPr>
        <w:t xml:space="preserve">: </w:t>
      </w:r>
      <w:r>
        <w:rPr/>
        <w:t xml:space="preserve">3.2</w:t>
      </w:r>
      <w:r>
        <w:rPr/>
        <w:t xml:space="preserve">Ensure greater citizen participation in democratic governance; and 3.4 Improve democratic institutions and national unity</w:t>
      </w:r>
      <w:r>
        <w:rPr/>
        <w:t xml:space="preserve">.</w:t>
      </w:r>
      <w:r>
        <w:rPr>
          <w:rFonts w:cs="Calibri" w:hAnsi="Calibri" w:eastAsia="Calibri" w:ascii="Calibri"/>
          <w:b w:val="1"/>
          <w:sz w:val="20"/>
        </w:rPr>
        <w:t xml:space="preserve"> </w:t>
      </w:r>
    </w:p>
  </w:footnote>
  <w:footnote w:id="110">
    <w:p>
      <w:pPr>
        <w:pStyle w:val="footnote description"/>
        <w:spacing w:before="0" w:after="0" w:line="259" w:lineRule="auto"/>
      </w:pPr>
      <w:r>
        <w:rPr>
          <w:rStyle w:val="footnote mark"/>
        </w:rPr>
        <w:footnoteRef/>
      </w:r>
      <w:r>
        <w:t xml:space="preserve"/>
      </w:r>
      <w:r>
        <w:rPr>
          <w:rFonts w:cs="Arial" w:hAnsi="Arial" w:eastAsia="Arial" w:ascii="Arial"/>
          <w:b w:val="1"/>
          <w:sz w:val="20"/>
        </w:rPr>
        <w:t xml:space="preserve"> </w:t>
      </w:r>
      <w:r>
        <w:rPr/>
        <w:t xml:space="preserve">In the context of the on</w:t>
      </w:r>
      <w:r>
        <w:rPr/>
        <w:t xml:space="preserve">-</w:t>
      </w:r>
      <w:r>
        <w:rPr/>
        <w:t xml:space="preserve">going constitutional reform process and beyond</w:t>
      </w:r>
      <w:r>
        <w:rPr>
          <w:rFonts w:cs="Arial" w:hAnsi="Arial" w:eastAsia="Arial" w:ascii="Arial"/>
          <w:b w:val="1"/>
        </w:rPr>
        <w:t xml:space="preserve"> </w:t>
      </w:r>
    </w:p>
  </w:footnote>
  <w:footnote w:id="111">
    <w:p>
      <w:pPr>
        <w:pStyle w:val="footnote description"/>
        <w:spacing w:before="0" w:after="0" w:line="259" w:lineRule="auto"/>
      </w:pPr>
      <w:r>
        <w:rPr>
          <w:rStyle w:val="footnote mark"/>
        </w:rPr>
        <w:footnoteRef/>
      </w:r>
      <w:r>
        <w:t xml:space="preserve"/>
      </w:r>
      <w:r>
        <w:t xml:space="preserve"> </w:t>
      </w:r>
      <w:r>
        <w:rPr/>
        <w:t xml:space="preserve">The project output 2 will entail support to strengthen political parties, media and civil society engagement with the electoral process and overall strengthening of the democratic environment through multi</w:t>
      </w:r>
      <w:r>
        <w:rPr/>
        <w:t xml:space="preserve">-</w:t>
      </w:r>
      <w:r>
        <w:rPr/>
        <w:t xml:space="preserve">stakeholder dialogue.    </w:t>
      </w:r>
      <w:r>
        <w:rPr/>
        <w:t xml:space="preserve"> </w:t>
      </w:r>
    </w:p>
    <w:p>
      <w:pPr>
        <w:pStyle w:val="footnote description"/>
        <w:spacing w:before="0" w:after="0" w:line="259" w:lineRule="auto"/>
      </w:pPr>
      <w:r>
        <w:rPr>
          <w:rFonts w:cs="Arial" w:hAnsi="Arial" w:eastAsia="Arial" w:ascii="Arial"/>
          <w:b w:val="1"/>
          <w:sz w:val="20"/>
        </w:rPr>
        <w:t xml:space="preserve"> </w:t>
      </w:r>
    </w:p>
  </w:footnote>
  <w:footnote w:id="112">
    <w:p>
      <w:pPr>
        <w:pStyle w:val="footnote description"/>
        <w:spacing w:before="0" w:after="0" w:line="259" w:lineRule="auto"/>
      </w:pPr>
      <w:r>
        <w:rPr>
          <w:rStyle w:val="footnote mark"/>
        </w:rPr>
        <w:footnoteRef/>
      </w:r>
      <w:r>
        <w:t xml:space="preserve"/>
      </w:r>
      <w:r>
        <w:t xml:space="preserve"> </w:t>
      </w:r>
      <w:r>
        <w:rPr>
          <w:sz w:val="20"/>
        </w:rPr>
        <w:t xml:space="preserve">One TC for Union Elections based in mainland,</w:t>
      </w:r>
      <w:r>
        <w:rPr>
          <w:sz w:val="20"/>
        </w:rPr>
        <w:t xml:space="preserve"> </w:t>
      </w:r>
      <w:r>
        <w:rPr>
          <w:sz w:val="20"/>
        </w:rPr>
        <w:t xml:space="preserve">and the other for Zanzibar Elections, based on the isles.</w:t>
      </w:r>
      <w:r>
        <w:rPr>
          <w:rFonts w:cs="Calibri" w:hAnsi="Calibri" w:eastAsia="Calibri" w:ascii="Calibri"/>
          <w:b w:val="1"/>
          <w:sz w:val="20"/>
        </w:rPr>
        <w:t xml:space="preserve"> </w:t>
      </w:r>
    </w:p>
  </w:footnote>
  <w:footnote w:id="113">
    <w:p>
      <w:pPr>
        <w:pStyle w:val="footnote description"/>
        <w:spacing w:before="0" w:after="0" w:line="259" w:lineRule="auto"/>
      </w:pPr>
      <w:r>
        <w:rPr>
          <w:rStyle w:val="footnote mark"/>
        </w:rPr>
        <w:footnoteRef/>
      </w:r>
      <w:r>
        <w:t xml:space="preserve"/>
      </w:r>
      <w:r>
        <w:rPr>
          <w:rFonts w:cs="Arial" w:hAnsi="Arial" w:eastAsia="Arial" w:ascii="Arial"/>
          <w:b w:val="1"/>
          <w:sz w:val="20"/>
        </w:rPr>
        <w:t xml:space="preserve"> </w:t>
      </w:r>
      <w:r>
        <w:rPr>
          <w:rFonts w:cs="Arial" w:hAnsi="Arial" w:eastAsia="Arial" w:ascii="Arial"/>
        </w:rPr>
        <w:t xml:space="preserve">UNDP’s integrated financial and project management system.</w:t>
      </w:r>
      <w:r>
        <w:rPr>
          <w:rFonts w:cs="Arial" w:hAnsi="Arial" w:eastAsia="Arial" w:ascii="Arial"/>
          <w:b w:val="1"/>
          <w:sz w:val="20"/>
        </w:rPr>
        <w:t xml:space="preserve"> </w:t>
      </w:r>
    </w:p>
  </w:footnote>
  <w:footnote w:id="114">
    <w:p>
      <w:pPr>
        <w:pStyle w:val="footnote description"/>
        <w:spacing w:before="0" w:after="0" w:line="259" w:lineRule="auto"/>
      </w:pPr>
      <w:r>
        <w:rPr>
          <w:rStyle w:val="footnote mark"/>
        </w:rPr>
        <w:footnoteRef/>
      </w:r>
      <w:r>
        <w:t xml:space="preserve"/>
      </w:r>
      <w:r>
        <w:t xml:space="preserve"> </w:t>
      </w:r>
      <w:r>
        <w:rPr>
          <w:rFonts w:cs="Times New Roman" w:hAnsi="Times New Roman" w:eastAsia="Times New Roman" w:ascii="Times New Roman"/>
          <w:sz w:val="20"/>
        </w:rPr>
        <w:t xml:space="preserve">Nomenclature of Territorial Units for Statistics, available at</w:t>
      </w:r>
      <w:r>
        <w:rPr>
          <w:rFonts w:cs="Times New Roman" w:hAnsi="Times New Roman" w:eastAsia="Times New Roman" w:ascii="Times New Roman"/>
          <w:sz w:val="20"/>
        </w:rPr>
        <w:t xml:space="preserve">:</w:t>
      </w:r>
      <w:r>
        <w:rPr>
          <w:rFonts w:cs="Times New Roman" w:hAnsi="Times New Roman" w:eastAsia="Times New Roman" w:ascii="Times New Roman"/>
          <w:sz w:val="20"/>
        </w:rPr>
        <w:t xml:space="preserve"> </w:t>
      </w:r>
    </w:p>
    <w:p>
      <w:pPr>
        <w:pStyle w:val="footnote description"/>
        <w:spacing w:before="0" w:after="0" w:line="259" w:lineRule="auto"/>
      </w:pPr>
      <w:r>
        <w:rPr>
          <w:rFonts w:cs="Times New Roman" w:hAnsi="Times New Roman" w:eastAsia="Times New Roman" w:ascii="Times New Roman"/>
          <w:sz w:val="20"/>
        </w:rPr>
        <w:t xml:space="preserve"> </w:t>
      </w:r>
      <w:hyperlink r:id="hyperlink14772">
        <w:r>
          <w:rPr>
            <w:rFonts w:cs="Times New Roman" w:hAnsi="Times New Roman" w:eastAsia="Times New Roman" w:ascii="Times New Roman"/>
            <w:sz w:val="20"/>
          </w:rPr>
          <w:t xml:space="preserve">  </w:t>
        </w:r>
      </w:hyperlink>
      <w:hyperlink r:id="hyperlink14772">
        <w:r>
          <w:rPr>
            <w:rFonts w:cs="Times New Roman" w:hAnsi="Times New Roman" w:eastAsia="Times New Roman" w:ascii="Times New Roman"/>
            <w:color w:val="0000ff"/>
            <w:sz w:val="20"/>
            <w:u w:val="single" w:color="0000ff"/>
          </w:rPr>
          <w:t xml:space="preserve">http://ec.europa.eu/eurostat/ramon</w:t>
        </w:r>
      </w:hyperlink>
      <w:hyperlink r:id="hyperlink14772">
        <w:r>
          <w:rPr>
            <w:rFonts w:cs="Times New Roman" w:hAnsi="Times New Roman" w:eastAsia="Times New Roman" w:ascii="Times New Roman"/>
            <w:sz w:val="20"/>
          </w:rPr>
          <w:t xml:space="preserve"> </w:t>
        </w:r>
      </w:hyperlink>
    </w:p>
    <w:p>
      <w:pPr>
        <w:pStyle w:val="footnote description"/>
        <w:spacing w:before="0" w:after="0" w:line="259" w:lineRule="auto"/>
      </w:pPr>
      <w:r>
        <w:rPr>
          <w:rFonts w:cs="Times New Roman" w:hAnsi="Times New Roman" w:eastAsia="Times New Roman" w:ascii="Times New Roman"/>
          <w:sz w:val="20"/>
        </w:rPr>
        <w:t xml:space="preserve"> </w:t>
      </w:r>
    </w:p>
  </w:footnote>
</w:footnotes>
</file>

<file path=word/header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1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2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219" w:right="0" w:firstLine="0"/>
      <w:jc w:val="center"/>
    </w:pPr>
    <w:r>
      <w:rPr>
        <w:rFonts w:cs="Calibri" w:hAnsi="Calibri" w:eastAsia="Calibri" w:ascii="Calibri"/>
        <w:sz w:val="20"/>
      </w:rPr>
      <w:t xml:space="preserve">DEMOCRATIC*EMPOWERMENT*PROJECT*2013*3*2014*WORK*PLAN*BUDGET</w:t>
    </w:r>
  </w:p>
</w:hdr>
</file>

<file path=word/header2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219" w:right="0" w:firstLine="0"/>
      <w:jc w:val="center"/>
    </w:pPr>
    <w:r>
      <w:rPr>
        <w:rFonts w:cs="Calibri" w:hAnsi="Calibri" w:eastAsia="Calibri" w:ascii="Calibri"/>
        <w:sz w:val="20"/>
      </w:rPr>
      <w:t xml:space="preserve">DEMOCRATIC*EMPOWERMENT*PROJECT*2013*3*2014*WORK*PLAN*BUDGET</w:t>
    </w:r>
  </w:p>
</w:hdr>
</file>

<file path=word/header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3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9" w:lineRule="auto"/>
      <w:ind w:left="219" w:right="0" w:firstLine="0"/>
      <w:jc w:val="center"/>
    </w:pPr>
    <w:r>
      <w:rPr>
        <w:rFonts w:cs="Calibri" w:hAnsi="Calibri" w:eastAsia="Calibri" w:ascii="Calibri"/>
        <w:sz w:val="20"/>
      </w:rPr>
      <w:t xml:space="preserve">DEMOCRATIC*EMPOWERMENT*PROJECT*2013*3*2014*WORK*PLAN*BUDGET</w:t>
    </w:r>
  </w:p>
</w:hdr>
</file>

<file path=word/header3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spacing w:before="0" w:after="0" w:line="257" w:lineRule="auto"/>
      <w:ind w:left="6070" w:right="5277" w:hanging="535"/>
      <w:jc w:val="left"/>
    </w:pPr>
    <w:r>
      <w:rPr>
        <w:rFonts w:cs="Calibri" w:hAnsi="Calibri" w:eastAsia="Calibri" w:ascii="Calibri"/>
        <w:b w:val="1"/>
        <w:sz w:val="15"/>
      </w:rPr>
      <w:t xml:space="preserve">DEMOCRATIC EMPOWERMENT PROJECT (DEP) RISK MANAGEMENT MATRIX</w:t>
    </w:r>
  </w:p>
</w:hdr>
</file>

<file path=word/header3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3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3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4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0.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1.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2.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3.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54.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6.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7.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8.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header9.xml><?xml version="1.0" encoding="utf-8"?>
<w:hdr xmlns:wp="http://schemas.openxmlformats.org/drawingml/2006/wordprocessingDrawing" xmlns:r="http://schemas.openxmlformats.org/officeDocument/2006/relationships" xmlns:a="http://schemas.openxmlformats.org/drawingml/2006/main" xmlns:wps="http://schemas.microsoft.com/office/word/2010/wordprocessingShape" xmlns:mc="http://schemas.openxmlformats.org/markup-compatibility/2006" xmlns:wpg="http://schemas.microsoft.com/office/word/2010/wordprocessingGroup" xmlns:w="http://schemas.openxmlformats.org/wordprocessingml/2006/main">
  <w:p>
    <w:pPr>
      <w:bidi w:val="0"/>
      <w:spacing w:before="0" w:after="160" w:line="259" w:lineRule="auto"/>
      <w:ind w:left="0" w:right="0" w:firstLine="0"/>
      <w:jc w:val="left"/>
    </w:pPr>
  </w:p>
</w:hdr>
</file>

<file path=word/numbering.xml><?xml version="1.0" encoding="utf-8"?>
<w:numbering xmlns:mc="http://schemas.openxmlformats.org/markup-compatibility/2006" xmlns:w14="http://schemas.microsoft.com/office/word/2010/wordml" xmlns:wp14="http://schemas.microsoft.com/office/word/2010/wordml" xmlns:w="http://schemas.openxmlformats.org/wordprocessingml/2006/main" mc:Ignorable="w14 wp14">
  <w:abstractNum w:abstractNumId="0">
    <w:multiLevelType w:val="multilevel"/>
    <w:lvl w:ilvl="0">
      <w:start w:val="1"/>
      <w:numFmt w:val="upperLetter"/>
      <w:lvlText w:val="%1."/>
      <w:pPr>
        <w:ind w:left="720"/>
      </w:pPr>
      <w:rPr>
        <w:rFonts w:cs="Calibri" w:hAnsi="Calibri" w:eastAsia="Calibri" w:ascii="Calibri"/>
        <w:b w:val="1"/>
        <w:bCs/>
        <w:i w:val="0"/>
        <w:strike w:val="0"/>
        <w:dstrike w:val="0"/>
        <w:color w:val="000000"/>
        <w:sz w:val="20"/>
        <w:szCs w:val="20"/>
        <w:u w:val="none" w:color="000000"/>
        <w:bdr w:val="none"/>
        <w:shd w:val="clear"/>
        <w:vertAlign w:val="baseline"/>
      </w:rPr>
    </w:lvl>
    <w:lvl w:ilvl="1">
      <w:start w:val="1"/>
      <w:numFmt w:val="decimal"/>
      <w:lvlText w:val="%1.%2"/>
      <w:pPr>
        <w:ind w:left="1159"/>
      </w:pPr>
      <w:rPr>
        <w:rFonts w:cs="Calibri" w:hAnsi="Calibri" w:eastAsia="Calibri" w:ascii="Calibri"/>
        <w:b w:val="1"/>
        <w:bCs/>
        <w:i w:val="0"/>
        <w:strike w:val="0"/>
        <w:dstrike w:val="0"/>
        <w:color w:val="000000"/>
        <w:sz w:val="20"/>
        <w:szCs w:val="20"/>
        <w:u w:val="none" w:color="000000"/>
        <w:bdr w:val="none"/>
        <w:shd w:val="clear"/>
        <w:vertAlign w:val="baseline"/>
      </w:rPr>
    </w:lvl>
    <w:lvl w:ilvl="2">
      <w:start w:val="1"/>
      <w:numFmt w:val="lowerRoman"/>
      <w:lvlText w:val="%3"/>
      <w:pPr>
        <w:ind w:left="1080"/>
      </w:pPr>
      <w:rPr>
        <w:rFonts w:cs="Calibri" w:hAnsi="Calibri" w:eastAsia="Calibri" w:ascii="Calibri"/>
        <w:b w:val="1"/>
        <w:bCs/>
        <w:i w:val="0"/>
        <w:strike w:val="0"/>
        <w:dstrike w:val="0"/>
        <w:color w:val="000000"/>
        <w:sz w:val="20"/>
        <w:szCs w:val="20"/>
        <w:u w:val="none" w:color="000000"/>
        <w:bdr w:val="none"/>
        <w:shd w:val="clear"/>
        <w:vertAlign w:val="baseline"/>
      </w:rPr>
    </w:lvl>
    <w:lvl w:ilvl="3">
      <w:start w:val="1"/>
      <w:numFmt w:val="decimal"/>
      <w:lvlText w:val="%4"/>
      <w:pPr>
        <w:ind w:left="1800"/>
      </w:pPr>
      <w:rPr>
        <w:rFonts w:cs="Calibri" w:hAnsi="Calibri" w:eastAsia="Calibri" w:ascii="Calibri"/>
        <w:b w:val="1"/>
        <w:bCs/>
        <w:i w:val="0"/>
        <w:strike w:val="0"/>
        <w:dstrike w:val="0"/>
        <w:color w:val="000000"/>
        <w:sz w:val="20"/>
        <w:szCs w:val="20"/>
        <w:u w:val="none" w:color="000000"/>
        <w:bdr w:val="none"/>
        <w:shd w:val="clear"/>
        <w:vertAlign w:val="baseline"/>
      </w:rPr>
    </w:lvl>
    <w:lvl w:ilvl="4">
      <w:start w:val="1"/>
      <w:numFmt w:val="lowerLetter"/>
      <w:lvlText w:val="%5"/>
      <w:pPr>
        <w:ind w:left="2520"/>
      </w:pPr>
      <w:rPr>
        <w:rFonts w:cs="Calibri" w:hAnsi="Calibri" w:eastAsia="Calibri" w:ascii="Calibri"/>
        <w:b w:val="1"/>
        <w:bCs/>
        <w:i w:val="0"/>
        <w:strike w:val="0"/>
        <w:dstrike w:val="0"/>
        <w:color w:val="000000"/>
        <w:sz w:val="20"/>
        <w:szCs w:val="20"/>
        <w:u w:val="none" w:color="000000"/>
        <w:bdr w:val="none"/>
        <w:shd w:val="clear"/>
        <w:vertAlign w:val="baseline"/>
      </w:rPr>
    </w:lvl>
    <w:lvl w:ilvl="5">
      <w:start w:val="1"/>
      <w:numFmt w:val="lowerRoman"/>
      <w:lvlText w:val="%6"/>
      <w:pPr>
        <w:ind w:left="3240"/>
      </w:pPr>
      <w:rPr>
        <w:rFonts w:cs="Calibri" w:hAnsi="Calibri" w:eastAsia="Calibri" w:ascii="Calibri"/>
        <w:b w:val="1"/>
        <w:bCs/>
        <w:i w:val="0"/>
        <w:strike w:val="0"/>
        <w:dstrike w:val="0"/>
        <w:color w:val="000000"/>
        <w:sz w:val="20"/>
        <w:szCs w:val="20"/>
        <w:u w:val="none" w:color="000000"/>
        <w:bdr w:val="none"/>
        <w:shd w:val="clear"/>
        <w:vertAlign w:val="baseline"/>
      </w:rPr>
    </w:lvl>
    <w:lvl w:ilvl="6">
      <w:start w:val="1"/>
      <w:numFmt w:val="decimal"/>
      <w:lvlText w:val="%7"/>
      <w:pPr>
        <w:ind w:left="3960"/>
      </w:pPr>
      <w:rPr>
        <w:rFonts w:cs="Calibri" w:hAnsi="Calibri" w:eastAsia="Calibri" w:ascii="Calibri"/>
        <w:b w:val="1"/>
        <w:bCs/>
        <w:i w:val="0"/>
        <w:strike w:val="0"/>
        <w:dstrike w:val="0"/>
        <w:color w:val="000000"/>
        <w:sz w:val="20"/>
        <w:szCs w:val="20"/>
        <w:u w:val="none" w:color="000000"/>
        <w:bdr w:val="none"/>
        <w:shd w:val="clear"/>
        <w:vertAlign w:val="baseline"/>
      </w:rPr>
    </w:lvl>
    <w:lvl w:ilvl="7">
      <w:start w:val="1"/>
      <w:numFmt w:val="lowerLetter"/>
      <w:lvlText w:val="%8"/>
      <w:pPr>
        <w:ind w:left="4680"/>
      </w:pPr>
      <w:rPr>
        <w:rFonts w:cs="Calibri" w:hAnsi="Calibri" w:eastAsia="Calibri" w:ascii="Calibri"/>
        <w:b w:val="1"/>
        <w:bCs/>
        <w:i w:val="0"/>
        <w:strike w:val="0"/>
        <w:dstrike w:val="0"/>
        <w:color w:val="000000"/>
        <w:sz w:val="20"/>
        <w:szCs w:val="20"/>
        <w:u w:val="none" w:color="000000"/>
        <w:bdr w:val="none"/>
        <w:shd w:val="clear"/>
        <w:vertAlign w:val="baseline"/>
      </w:rPr>
    </w:lvl>
    <w:lvl w:ilvl="8">
      <w:start w:val="1"/>
      <w:numFmt w:val="lowerRoman"/>
      <w:lvlText w:val="%9"/>
      <w:pPr>
        <w:ind w:left="5400"/>
      </w:pPr>
      <w:rPr>
        <w:rFonts w:cs="Calibri" w:hAnsi="Calibri" w:eastAsia="Calibri" w:ascii="Calibri"/>
        <w:b w:val="1"/>
        <w:bCs/>
        <w:i w:val="0"/>
        <w:strike w:val="0"/>
        <w:dstrike w:val="0"/>
        <w:color w:val="000000"/>
        <w:sz w:val="20"/>
        <w:szCs w:val="20"/>
        <w:u w:val="none" w:color="000000"/>
        <w:bdr w:val="none"/>
        <w:shd w:val="clear"/>
        <w:vertAlign w:val="baseline"/>
      </w:rPr>
    </w:lvl>
  </w:abstractNum>
  <w:abstractNum w:abstractNumId="1">
    <w:multiLevelType w:val="hybridMultilevel"/>
    <w:lvl w:ilvl="0">
      <w:start w:val="1"/>
      <w:numFmt w:val="bullet"/>
      <w:lvlText w:val="•"/>
      <w:pPr>
        <w:ind w:left="401"/>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upperLetter"/>
      <w:lvlText w:val="%2)"/>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bullet"/>
      <w:lvlText w:val="-"/>
      <w:pPr>
        <w:ind w:left="108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3">
      <w:start w:val="1"/>
      <w:numFmt w:val="bullet"/>
      <w:lvlText w:val="•"/>
      <w:pPr>
        <w:ind w:left="180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4">
      <w:start w:val="1"/>
      <w:numFmt w:val="bullet"/>
      <w:lvlText w:val="o"/>
      <w:pPr>
        <w:ind w:left="252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5">
      <w:start w:val="1"/>
      <w:numFmt w:val="bullet"/>
      <w:lvlText w:val="▪"/>
      <w:pPr>
        <w:ind w:left="324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6">
      <w:start w:val="1"/>
      <w:numFmt w:val="bullet"/>
      <w:lvlText w:val="•"/>
      <w:pPr>
        <w:ind w:left="396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7">
      <w:start w:val="1"/>
      <w:numFmt w:val="bullet"/>
      <w:lvlText w:val="o"/>
      <w:pPr>
        <w:ind w:left="468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lvl w:ilvl="8">
      <w:start w:val="1"/>
      <w:numFmt w:val="bullet"/>
      <w:lvlText w:val="▪"/>
      <w:pPr>
        <w:ind w:left="5400"/>
      </w:pPr>
      <w:rPr>
        <w:rFonts w:cs="Times New Roman" w:hAnsi="Times New Roman" w:eastAsia="Times New Roman" w:ascii="Times New Roman"/>
        <w:b w:val="0"/>
        <w:i w:val="0"/>
        <w:strike w:val="0"/>
        <w:dstrike w:val="0"/>
        <w:color w:val="000000"/>
        <w:sz w:val="22"/>
        <w:szCs w:val="22"/>
        <w:u w:val="none" w:color="000000"/>
        <w:bdr w:val="none"/>
        <w:shd w:val="clear"/>
        <w:vertAlign w:val="baseline"/>
      </w:rPr>
    </w:lvl>
  </w:abstractNum>
  <w:abstractNum w:abstractNumId="2">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3">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44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1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880"/>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60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32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040"/>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7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48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
    <w:multiLevelType w:val="hybridMultilevel"/>
    <w:lvl w:ilvl="0">
      <w:start w:val="1"/>
      <w:numFmt w:val="decimal"/>
      <w:lvlText w:val="%1)"/>
      <w:pPr>
        <w:ind w:left="23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08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80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52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24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396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68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40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12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5">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6">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7">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8">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9">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0">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1">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2">
    <w:multiLevelType w:val="hybridMultilevel"/>
    <w:lvl w:ilvl="0">
      <w:start w:val="1"/>
      <w:numFmt w:val="decimal"/>
      <w:lvlText w:val="%1."/>
      <w:pPr>
        <w:ind w:left="108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80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52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324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96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68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40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612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84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3">
    <w:multiLevelType w:val="hybridMultilevel"/>
    <w:lvl w:ilvl="0">
      <w:start w:val="1"/>
      <w:numFmt w:val="decimal"/>
      <w:lvlText w:val="%1."/>
      <w:pPr>
        <w:ind w:left="108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80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52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324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96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68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40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612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84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4">
    <w:multiLevelType w:val="hybridMultilevel"/>
    <w:lvl w:ilvl="0">
      <w:start w:val="1"/>
      <w:numFmt w:val="lowerRoman"/>
      <w:lvlText w:val="%1."/>
      <w:pPr>
        <w:ind w:left="77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284"/>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004"/>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724"/>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444"/>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164"/>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884"/>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604"/>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324"/>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5">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6">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44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16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88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60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32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04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76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48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17">
    <w:multiLevelType w:val="hybridMultilevel"/>
    <w:lvl w:ilvl="0">
      <w:start w:val="1"/>
      <w:numFmt w:val="bullet"/>
      <w:lvlText w:val="o"/>
      <w:pPr>
        <w:ind w:left="720"/>
      </w:pPr>
      <w:rPr>
        <w:rFonts w:cs="Courier New" w:hAnsi="Courier New" w:eastAsia="Courier New" w:ascii="Courier New"/>
        <w:b w:val="0"/>
        <w:i w:val="0"/>
        <w:strike w:val="0"/>
        <w:dstrike w:val="0"/>
        <w:color w:val="000000"/>
        <w:sz w:val="22"/>
        <w:szCs w:val="22"/>
        <w:u w:val="none" w:color="000000"/>
        <w:bdr w:val="none"/>
        <w:shd w:val="clear"/>
        <w:vertAlign w:val="baseline"/>
      </w:rPr>
    </w:lvl>
    <w:lvl w:ilvl="1">
      <w:start w:val="1"/>
      <w:numFmt w:val="bullet"/>
      <w:lvlText w:val=""/>
      <w:pPr>
        <w:ind w:left="1440"/>
      </w:pPr>
      <w:rPr>
        <w:rFonts w:cs="Wingdings" w:hAnsi="Wingdings" w:eastAsia="Wingdings" w:ascii="Wingdings"/>
        <w:b w:val="0"/>
        <w:i w:val="0"/>
        <w:strike w:val="0"/>
        <w:dstrike w:val="0"/>
        <w:color w:val="000000"/>
        <w:sz w:val="22"/>
        <w:szCs w:val="22"/>
        <w:u w:val="none" w:color="000000"/>
        <w:bdr w:val="none"/>
        <w:shd w:val="clear"/>
        <w:vertAlign w:val="baseline"/>
      </w:rPr>
    </w:lvl>
    <w:lvl w:ilvl="2">
      <w:start w:val="1"/>
      <w:numFmt w:val="bullet"/>
      <w:lvlText w:val="▪"/>
      <w:pPr>
        <w:ind w:left="2137"/>
      </w:pPr>
      <w:rPr>
        <w:rFonts w:cs="Wingdings" w:hAnsi="Wingdings" w:eastAsia="Wingdings" w:ascii="Wingdings"/>
        <w:b w:val="0"/>
        <w:i w:val="0"/>
        <w:strike w:val="0"/>
        <w:dstrike w:val="0"/>
        <w:color w:val="000000"/>
        <w:sz w:val="22"/>
        <w:szCs w:val="22"/>
        <w:u w:val="none" w:color="000000"/>
        <w:bdr w:val="none"/>
        <w:shd w:val="clear"/>
        <w:vertAlign w:val="baseline"/>
      </w:rPr>
    </w:lvl>
    <w:lvl w:ilvl="3">
      <w:start w:val="1"/>
      <w:numFmt w:val="bullet"/>
      <w:lvlText w:val="•"/>
      <w:pPr>
        <w:ind w:left="2857"/>
      </w:pPr>
      <w:rPr>
        <w:rFonts w:cs="Wingdings" w:hAnsi="Wingdings" w:eastAsia="Wingdings" w:ascii="Wingdings"/>
        <w:b w:val="0"/>
        <w:i w:val="0"/>
        <w:strike w:val="0"/>
        <w:dstrike w:val="0"/>
        <w:color w:val="000000"/>
        <w:sz w:val="22"/>
        <w:szCs w:val="22"/>
        <w:u w:val="none" w:color="000000"/>
        <w:bdr w:val="none"/>
        <w:shd w:val="clear"/>
        <w:vertAlign w:val="baseline"/>
      </w:rPr>
    </w:lvl>
    <w:lvl w:ilvl="4">
      <w:start w:val="1"/>
      <w:numFmt w:val="bullet"/>
      <w:lvlText w:val="o"/>
      <w:pPr>
        <w:ind w:left="3577"/>
      </w:pPr>
      <w:rPr>
        <w:rFonts w:cs="Wingdings" w:hAnsi="Wingdings" w:eastAsia="Wingdings" w:ascii="Wingdings"/>
        <w:b w:val="0"/>
        <w:i w:val="0"/>
        <w:strike w:val="0"/>
        <w:dstrike w:val="0"/>
        <w:color w:val="000000"/>
        <w:sz w:val="22"/>
        <w:szCs w:val="22"/>
        <w:u w:val="none" w:color="000000"/>
        <w:bdr w:val="none"/>
        <w:shd w:val="clear"/>
        <w:vertAlign w:val="baseline"/>
      </w:rPr>
    </w:lvl>
    <w:lvl w:ilvl="5">
      <w:start w:val="1"/>
      <w:numFmt w:val="bullet"/>
      <w:lvlText w:val="▪"/>
      <w:pPr>
        <w:ind w:left="4297"/>
      </w:pPr>
      <w:rPr>
        <w:rFonts w:cs="Wingdings" w:hAnsi="Wingdings" w:eastAsia="Wingdings" w:ascii="Wingdings"/>
        <w:b w:val="0"/>
        <w:i w:val="0"/>
        <w:strike w:val="0"/>
        <w:dstrike w:val="0"/>
        <w:color w:val="000000"/>
        <w:sz w:val="22"/>
        <w:szCs w:val="22"/>
        <w:u w:val="none" w:color="000000"/>
        <w:bdr w:val="none"/>
        <w:shd w:val="clear"/>
        <w:vertAlign w:val="baseline"/>
      </w:rPr>
    </w:lvl>
    <w:lvl w:ilvl="6">
      <w:start w:val="1"/>
      <w:numFmt w:val="bullet"/>
      <w:lvlText w:val="•"/>
      <w:pPr>
        <w:ind w:left="5017"/>
      </w:pPr>
      <w:rPr>
        <w:rFonts w:cs="Wingdings" w:hAnsi="Wingdings" w:eastAsia="Wingdings" w:ascii="Wingdings"/>
        <w:b w:val="0"/>
        <w:i w:val="0"/>
        <w:strike w:val="0"/>
        <w:dstrike w:val="0"/>
        <w:color w:val="000000"/>
        <w:sz w:val="22"/>
        <w:szCs w:val="22"/>
        <w:u w:val="none" w:color="000000"/>
        <w:bdr w:val="none"/>
        <w:shd w:val="clear"/>
        <w:vertAlign w:val="baseline"/>
      </w:rPr>
    </w:lvl>
    <w:lvl w:ilvl="7">
      <w:start w:val="1"/>
      <w:numFmt w:val="bullet"/>
      <w:lvlText w:val="o"/>
      <w:pPr>
        <w:ind w:left="5737"/>
      </w:pPr>
      <w:rPr>
        <w:rFonts w:cs="Wingdings" w:hAnsi="Wingdings" w:eastAsia="Wingdings" w:ascii="Wingdings"/>
        <w:b w:val="0"/>
        <w:i w:val="0"/>
        <w:strike w:val="0"/>
        <w:dstrike w:val="0"/>
        <w:color w:val="000000"/>
        <w:sz w:val="22"/>
        <w:szCs w:val="22"/>
        <w:u w:val="none" w:color="000000"/>
        <w:bdr w:val="none"/>
        <w:shd w:val="clear"/>
        <w:vertAlign w:val="baseline"/>
      </w:rPr>
    </w:lvl>
    <w:lvl w:ilvl="8">
      <w:start w:val="1"/>
      <w:numFmt w:val="bullet"/>
      <w:lvlText w:val="▪"/>
      <w:pPr>
        <w:ind w:left="6457"/>
      </w:pPr>
      <w:rPr>
        <w:rFonts w:cs="Wingdings" w:hAnsi="Wingdings" w:eastAsia="Wingdings" w:ascii="Wingdings"/>
        <w:b w:val="0"/>
        <w:i w:val="0"/>
        <w:strike w:val="0"/>
        <w:dstrike w:val="0"/>
        <w:color w:val="000000"/>
        <w:sz w:val="22"/>
        <w:szCs w:val="22"/>
        <w:u w:val="none" w:color="000000"/>
        <w:bdr w:val="none"/>
        <w:shd w:val="clear"/>
        <w:vertAlign w:val="baseline"/>
      </w:rPr>
    </w:lvl>
  </w:abstractNum>
  <w:abstractNum w:abstractNumId="18">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44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1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880"/>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60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32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040"/>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7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48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19">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44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1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880"/>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60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32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040"/>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76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480"/>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20">
    <w:multiLevelType w:val="hybridMultilevel"/>
    <w:lvl w:ilvl="0">
      <w:start w:val="1"/>
      <w:numFmt w:val="decimal"/>
      <w:lvlText w:val="%1)"/>
      <w:pPr>
        <w:ind w:left="23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08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80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52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24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396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68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40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12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21">
    <w:multiLevelType w:val="hybridMultilevel"/>
    <w:lvl w:ilvl="0">
      <w:start w:val="1"/>
      <w:numFmt w:val="decimal"/>
      <w:lvlText w:val="%1)"/>
      <w:pPr>
        <w:ind w:left="23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08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80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52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24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396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68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40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12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22">
    <w:multiLevelType w:val="hybridMultilevel"/>
    <w:lvl w:ilvl="0">
      <w:start w:val="1"/>
      <w:numFmt w:val="upperLetter"/>
      <w:lvlText w:val="%1."/>
      <w:pPr>
        <w:ind w:left="1376"/>
      </w:pPr>
      <w:rPr>
        <w:rFonts w:cs="Calibri" w:hAnsi="Calibri" w:eastAsia="Calibri" w:ascii="Calibri"/>
        <w:b w:val="0"/>
        <w:i w:val="0"/>
        <w:strike w:val="0"/>
        <w:dstrike w:val="0"/>
        <w:color w:val="000000"/>
        <w:sz w:val="20"/>
        <w:szCs w:val="20"/>
        <w:u w:val="none" w:color="000000"/>
        <w:bdr w:val="none"/>
        <w:shd w:val="clear"/>
        <w:vertAlign w:val="baseline"/>
      </w:rPr>
    </w:lvl>
    <w:lvl w:ilvl="1">
      <w:start w:val="1"/>
      <w:numFmt w:val="lowerLetter"/>
      <w:lvlText w:val="%2"/>
      <w:pPr>
        <w:ind w:left="1080"/>
      </w:pPr>
      <w:rPr>
        <w:rFonts w:cs="Calibri" w:hAnsi="Calibri" w:eastAsia="Calibri" w:ascii="Calibri"/>
        <w:b w:val="0"/>
        <w:i w:val="0"/>
        <w:strike w:val="0"/>
        <w:dstrike w:val="0"/>
        <w:color w:val="000000"/>
        <w:sz w:val="20"/>
        <w:szCs w:val="20"/>
        <w:u w:val="none" w:color="000000"/>
        <w:bdr w:val="none"/>
        <w:shd w:val="clear"/>
        <w:vertAlign w:val="baseline"/>
      </w:rPr>
    </w:lvl>
    <w:lvl w:ilvl="2">
      <w:start w:val="1"/>
      <w:numFmt w:val="lowerRoman"/>
      <w:lvlText w:val="%3"/>
      <w:pPr>
        <w:ind w:left="1800"/>
      </w:pPr>
      <w:rPr>
        <w:rFonts w:cs="Calibri" w:hAnsi="Calibri" w:eastAsia="Calibri" w:ascii="Calibri"/>
        <w:b w:val="0"/>
        <w:i w:val="0"/>
        <w:strike w:val="0"/>
        <w:dstrike w:val="0"/>
        <w:color w:val="000000"/>
        <w:sz w:val="20"/>
        <w:szCs w:val="20"/>
        <w:u w:val="none" w:color="000000"/>
        <w:bdr w:val="none"/>
        <w:shd w:val="clear"/>
        <w:vertAlign w:val="baseline"/>
      </w:rPr>
    </w:lvl>
    <w:lvl w:ilvl="3">
      <w:start w:val="1"/>
      <w:numFmt w:val="decimal"/>
      <w:lvlText w:val="%4"/>
      <w:pPr>
        <w:ind w:left="2520"/>
      </w:pPr>
      <w:rPr>
        <w:rFonts w:cs="Calibri" w:hAnsi="Calibri" w:eastAsia="Calibri" w:ascii="Calibri"/>
        <w:b w:val="0"/>
        <w:i w:val="0"/>
        <w:strike w:val="0"/>
        <w:dstrike w:val="0"/>
        <w:color w:val="000000"/>
        <w:sz w:val="20"/>
        <w:szCs w:val="20"/>
        <w:u w:val="none" w:color="000000"/>
        <w:bdr w:val="none"/>
        <w:shd w:val="clear"/>
        <w:vertAlign w:val="baseline"/>
      </w:rPr>
    </w:lvl>
    <w:lvl w:ilvl="4">
      <w:start w:val="1"/>
      <w:numFmt w:val="lowerLetter"/>
      <w:lvlText w:val="%5"/>
      <w:pPr>
        <w:ind w:left="3240"/>
      </w:pPr>
      <w:rPr>
        <w:rFonts w:cs="Calibri" w:hAnsi="Calibri" w:eastAsia="Calibri" w:ascii="Calibri"/>
        <w:b w:val="0"/>
        <w:i w:val="0"/>
        <w:strike w:val="0"/>
        <w:dstrike w:val="0"/>
        <w:color w:val="000000"/>
        <w:sz w:val="20"/>
        <w:szCs w:val="20"/>
        <w:u w:val="none" w:color="000000"/>
        <w:bdr w:val="none"/>
        <w:shd w:val="clear"/>
        <w:vertAlign w:val="baseline"/>
      </w:rPr>
    </w:lvl>
    <w:lvl w:ilvl="5">
      <w:start w:val="1"/>
      <w:numFmt w:val="lowerRoman"/>
      <w:lvlText w:val="%6"/>
      <w:pPr>
        <w:ind w:left="3960"/>
      </w:pPr>
      <w:rPr>
        <w:rFonts w:cs="Calibri" w:hAnsi="Calibri" w:eastAsia="Calibri" w:ascii="Calibri"/>
        <w:b w:val="0"/>
        <w:i w:val="0"/>
        <w:strike w:val="0"/>
        <w:dstrike w:val="0"/>
        <w:color w:val="000000"/>
        <w:sz w:val="20"/>
        <w:szCs w:val="20"/>
        <w:u w:val="none" w:color="000000"/>
        <w:bdr w:val="none"/>
        <w:shd w:val="clear"/>
        <w:vertAlign w:val="baseline"/>
      </w:rPr>
    </w:lvl>
    <w:lvl w:ilvl="6">
      <w:start w:val="1"/>
      <w:numFmt w:val="decimal"/>
      <w:lvlText w:val="%7"/>
      <w:pPr>
        <w:ind w:left="4680"/>
      </w:pPr>
      <w:rPr>
        <w:rFonts w:cs="Calibri" w:hAnsi="Calibri" w:eastAsia="Calibri" w:ascii="Calibri"/>
        <w:b w:val="0"/>
        <w:i w:val="0"/>
        <w:strike w:val="0"/>
        <w:dstrike w:val="0"/>
        <w:color w:val="000000"/>
        <w:sz w:val="20"/>
        <w:szCs w:val="20"/>
        <w:u w:val="none" w:color="000000"/>
        <w:bdr w:val="none"/>
        <w:shd w:val="clear"/>
        <w:vertAlign w:val="baseline"/>
      </w:rPr>
    </w:lvl>
    <w:lvl w:ilvl="7">
      <w:start w:val="1"/>
      <w:numFmt w:val="lowerLetter"/>
      <w:lvlText w:val="%8"/>
      <w:pPr>
        <w:ind w:left="5400"/>
      </w:pPr>
      <w:rPr>
        <w:rFonts w:cs="Calibri" w:hAnsi="Calibri" w:eastAsia="Calibri" w:ascii="Calibri"/>
        <w:b w:val="0"/>
        <w:i w:val="0"/>
        <w:strike w:val="0"/>
        <w:dstrike w:val="0"/>
        <w:color w:val="000000"/>
        <w:sz w:val="20"/>
        <w:szCs w:val="20"/>
        <w:u w:val="none" w:color="000000"/>
        <w:bdr w:val="none"/>
        <w:shd w:val="clear"/>
        <w:vertAlign w:val="baseline"/>
      </w:rPr>
    </w:lvl>
    <w:lvl w:ilvl="8">
      <w:start w:val="1"/>
      <w:numFmt w:val="lowerRoman"/>
      <w:lvlText w:val="%9"/>
      <w:pPr>
        <w:ind w:left="6120"/>
      </w:pPr>
      <w:rPr>
        <w:rFonts w:cs="Calibri" w:hAnsi="Calibri" w:eastAsia="Calibri" w:ascii="Calibri"/>
        <w:b w:val="0"/>
        <w:i w:val="0"/>
        <w:strike w:val="0"/>
        <w:dstrike w:val="0"/>
        <w:color w:val="000000"/>
        <w:sz w:val="20"/>
        <w:szCs w:val="20"/>
        <w:u w:val="none" w:color="000000"/>
        <w:bdr w:val="none"/>
        <w:shd w:val="clear"/>
        <w:vertAlign w:val="baseline"/>
      </w:rPr>
    </w:lvl>
  </w:abstractNum>
  <w:abstractNum w:abstractNumId="23">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22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30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7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4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51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8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6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73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4">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163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235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07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379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451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23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595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667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5">
    <w:multiLevelType w:val="multilevel"/>
    <w:lvl w:ilvl="0">
      <w:start w:val="2"/>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5"/>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0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18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25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24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39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46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54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6">
    <w:multiLevelType w:val="multilevel"/>
    <w:lvl w:ilvl="0">
      <w:start w:val="2"/>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7"/>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8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4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4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7">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22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30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7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4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51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8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6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73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8">
    <w:multiLevelType w:val="multilevel"/>
    <w:lvl w:ilvl="0">
      <w:start w:val="10"/>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3"/>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79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1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3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5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7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39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1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29">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22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30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7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4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51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8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6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73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0">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22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30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7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4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51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8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6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73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1">
    <w:multiLevelType w:val="multilevel"/>
    <w:lvl w:ilvl="0">
      <w:start w:val="12"/>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3"/>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8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4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4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2">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186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258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30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02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474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46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18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6905"/>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3">
    <w:multiLevelType w:val="multilevel"/>
    <w:lvl w:ilvl="0">
      <w:start w:val="14"/>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5"/>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8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4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4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4">
    <w:multiLevelType w:val="hybridMultilevel"/>
    <w:lvl w:ilvl="0">
      <w:start w:val="1"/>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lowerLetter"/>
      <w:lvlText w:val="%2"/>
      <w:pPr>
        <w:ind w:left="1081"/>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Restart w:val="0"/>
      <w:lvlText w:val="(%3)"/>
      <w:pPr>
        <w:ind w:left="2163"/>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4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5">
    <w:multiLevelType w:val="hybridMultilevel"/>
    <w:lvl w:ilvl="0">
      <w:start w:val="1"/>
      <w:numFmt w:val="bullet"/>
      <w:lvlText w:val="–"/>
      <w:pPr>
        <w:ind w:left="148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1"/>
      <w:numFmt w:val="bullet"/>
      <w:lvlText w:val="o"/>
      <w:pPr>
        <w:ind w:left="22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bullet"/>
      <w:lvlText w:val="▪"/>
      <w:pPr>
        <w:ind w:left="30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bullet"/>
      <w:lvlText w:val="•"/>
      <w:pPr>
        <w:ind w:left="37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bullet"/>
      <w:lvlText w:val="o"/>
      <w:pPr>
        <w:ind w:left="444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bullet"/>
      <w:lvlText w:val="▪"/>
      <w:pPr>
        <w:ind w:left="516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bullet"/>
      <w:lvlText w:val="•"/>
      <w:pPr>
        <w:ind w:left="588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bullet"/>
      <w:lvlText w:val="o"/>
      <w:pPr>
        <w:ind w:left="660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bullet"/>
      <w:lvlText w:val="▪"/>
      <w:pPr>
        <w:ind w:left="7322"/>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6">
    <w:multiLevelType w:val="multilevel"/>
    <w:lvl w:ilvl="0">
      <w:start w:val="16"/>
      <w:numFmt w:val="decimal"/>
      <w:lvlText w:val="%1"/>
      <w:pPr>
        <w:ind w:left="3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1">
      <w:start w:val="4"/>
      <w:numFmt w:val="decimal"/>
      <w:lvlRestart w:val="0"/>
      <w:lvlText w:val="%1.%2"/>
      <w:pPr>
        <w:ind w:left="1307"/>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2">
      <w:start w:val="1"/>
      <w:numFmt w:val="lowerRoman"/>
      <w:lvlText w:val="%3"/>
      <w:pPr>
        <w:ind w:left="18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3">
      <w:start w:val="1"/>
      <w:numFmt w:val="decimal"/>
      <w:lvlText w:val="%4"/>
      <w:pPr>
        <w:ind w:left="25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4">
      <w:start w:val="1"/>
      <w:numFmt w:val="lowerLetter"/>
      <w:lvlText w:val="%5"/>
      <w:pPr>
        <w:ind w:left="324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5">
      <w:start w:val="1"/>
      <w:numFmt w:val="lowerRoman"/>
      <w:lvlText w:val="%6"/>
      <w:pPr>
        <w:ind w:left="396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6">
      <w:start w:val="1"/>
      <w:numFmt w:val="decimal"/>
      <w:lvlText w:val="%7"/>
      <w:pPr>
        <w:ind w:left="468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7">
      <w:start w:val="1"/>
      <w:numFmt w:val="lowerLetter"/>
      <w:lvlText w:val="%8"/>
      <w:pPr>
        <w:ind w:left="540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lvl w:ilvl="8">
      <w:start w:val="1"/>
      <w:numFmt w:val="lowerRoman"/>
      <w:lvlText w:val="%9"/>
      <w:pPr>
        <w:ind w:left="6120"/>
      </w:pPr>
      <w:rPr>
        <w:rFonts w:cs="Times New Roman" w:hAnsi="Times New Roman" w:eastAsia="Times New Roman" w:ascii="Times New Roman"/>
        <w:b w:val="0"/>
        <w:i w:val="0"/>
        <w:strike w:val="0"/>
        <w:dstrike w:val="0"/>
        <w:color w:val="000000"/>
        <w:sz w:val="23"/>
        <w:szCs w:val="23"/>
        <w:u w:val="none" w:color="000000"/>
        <w:bdr w:val="none"/>
        <w:shd w:val="clear"/>
        <w:vertAlign w:val="baseline"/>
      </w:rPr>
    </w:lvl>
  </w:abstractNum>
  <w:abstractNum w:abstractNumId="37">
    <w:multiLevelType w:val="hybridMultilevel"/>
    <w:lvl w:ilvl="0">
      <w:start w:val="1"/>
      <w:numFmt w:val="bullet"/>
      <w:lvlText w:val="•"/>
      <w:pPr>
        <w:ind w:left="814"/>
      </w:pPr>
      <w:rPr>
        <w:rFonts w:cs="Arial" w:hAnsi="Arial" w:eastAsia="Arial" w:ascii="Arial"/>
        <w:b w:val="1"/>
        <w:bCs/>
        <w:i w:val="0"/>
        <w:strike w:val="0"/>
        <w:dstrike w:val="0"/>
        <w:color w:val="000000"/>
        <w:sz w:val="18"/>
        <w:szCs w:val="18"/>
        <w:u w:val="none" w:color="000000"/>
        <w:bdr w:val="none"/>
        <w:shd w:val="clear"/>
        <w:vertAlign w:val="baseline"/>
      </w:rPr>
    </w:lvl>
    <w:lvl w:ilvl="1">
      <w:start w:val="1"/>
      <w:numFmt w:val="bullet"/>
      <w:lvlText w:val="o"/>
      <w:pPr>
        <w:ind w:left="1234"/>
      </w:pPr>
      <w:rPr>
        <w:rFonts w:cs="Calibri" w:hAnsi="Calibri" w:eastAsia="Calibri" w:ascii="Calibri"/>
        <w:b w:val="1"/>
        <w:bCs/>
        <w:i w:val="0"/>
        <w:strike w:val="0"/>
        <w:dstrike w:val="0"/>
        <w:color w:val="000000"/>
        <w:sz w:val="18"/>
        <w:szCs w:val="18"/>
        <w:u w:val="none" w:color="000000"/>
        <w:bdr w:val="none"/>
        <w:shd w:val="clear"/>
        <w:vertAlign w:val="baseline"/>
      </w:rPr>
    </w:lvl>
    <w:lvl w:ilvl="2">
      <w:start w:val="1"/>
      <w:numFmt w:val="bullet"/>
      <w:lvlText w:val="▪"/>
      <w:pPr>
        <w:ind w:left="1954"/>
      </w:pPr>
      <w:rPr>
        <w:rFonts w:cs="Calibri" w:hAnsi="Calibri" w:eastAsia="Calibri" w:ascii="Calibri"/>
        <w:b w:val="1"/>
        <w:bCs/>
        <w:i w:val="0"/>
        <w:strike w:val="0"/>
        <w:dstrike w:val="0"/>
        <w:color w:val="000000"/>
        <w:sz w:val="18"/>
        <w:szCs w:val="18"/>
        <w:u w:val="none" w:color="000000"/>
        <w:bdr w:val="none"/>
        <w:shd w:val="clear"/>
        <w:vertAlign w:val="baseline"/>
      </w:rPr>
    </w:lvl>
    <w:lvl w:ilvl="3">
      <w:start w:val="1"/>
      <w:numFmt w:val="bullet"/>
      <w:lvlText w:val="•"/>
      <w:pPr>
        <w:ind w:left="2674"/>
      </w:pPr>
      <w:rPr>
        <w:rFonts w:cs="Calibri" w:hAnsi="Calibri" w:eastAsia="Calibri" w:ascii="Calibri"/>
        <w:b w:val="1"/>
        <w:bCs/>
        <w:i w:val="0"/>
        <w:strike w:val="0"/>
        <w:dstrike w:val="0"/>
        <w:color w:val="000000"/>
        <w:sz w:val="18"/>
        <w:szCs w:val="18"/>
        <w:u w:val="none" w:color="000000"/>
        <w:bdr w:val="none"/>
        <w:shd w:val="clear"/>
        <w:vertAlign w:val="baseline"/>
      </w:rPr>
    </w:lvl>
    <w:lvl w:ilvl="4">
      <w:start w:val="1"/>
      <w:numFmt w:val="bullet"/>
      <w:lvlText w:val="o"/>
      <w:pPr>
        <w:ind w:left="3394"/>
      </w:pPr>
      <w:rPr>
        <w:rFonts w:cs="Calibri" w:hAnsi="Calibri" w:eastAsia="Calibri" w:ascii="Calibri"/>
        <w:b w:val="1"/>
        <w:bCs/>
        <w:i w:val="0"/>
        <w:strike w:val="0"/>
        <w:dstrike w:val="0"/>
        <w:color w:val="000000"/>
        <w:sz w:val="18"/>
        <w:szCs w:val="18"/>
        <w:u w:val="none" w:color="000000"/>
        <w:bdr w:val="none"/>
        <w:shd w:val="clear"/>
        <w:vertAlign w:val="baseline"/>
      </w:rPr>
    </w:lvl>
    <w:lvl w:ilvl="5">
      <w:start w:val="1"/>
      <w:numFmt w:val="bullet"/>
      <w:lvlText w:val="▪"/>
      <w:pPr>
        <w:ind w:left="4114"/>
      </w:pPr>
      <w:rPr>
        <w:rFonts w:cs="Calibri" w:hAnsi="Calibri" w:eastAsia="Calibri" w:ascii="Calibri"/>
        <w:b w:val="1"/>
        <w:bCs/>
        <w:i w:val="0"/>
        <w:strike w:val="0"/>
        <w:dstrike w:val="0"/>
        <w:color w:val="000000"/>
        <w:sz w:val="18"/>
        <w:szCs w:val="18"/>
        <w:u w:val="none" w:color="000000"/>
        <w:bdr w:val="none"/>
        <w:shd w:val="clear"/>
        <w:vertAlign w:val="baseline"/>
      </w:rPr>
    </w:lvl>
    <w:lvl w:ilvl="6">
      <w:start w:val="1"/>
      <w:numFmt w:val="bullet"/>
      <w:lvlText w:val="•"/>
      <w:pPr>
        <w:ind w:left="4834"/>
      </w:pPr>
      <w:rPr>
        <w:rFonts w:cs="Calibri" w:hAnsi="Calibri" w:eastAsia="Calibri" w:ascii="Calibri"/>
        <w:b w:val="1"/>
        <w:bCs/>
        <w:i w:val="0"/>
        <w:strike w:val="0"/>
        <w:dstrike w:val="0"/>
        <w:color w:val="000000"/>
        <w:sz w:val="18"/>
        <w:szCs w:val="18"/>
        <w:u w:val="none" w:color="000000"/>
        <w:bdr w:val="none"/>
        <w:shd w:val="clear"/>
        <w:vertAlign w:val="baseline"/>
      </w:rPr>
    </w:lvl>
    <w:lvl w:ilvl="7">
      <w:start w:val="1"/>
      <w:numFmt w:val="bullet"/>
      <w:lvlText w:val="o"/>
      <w:pPr>
        <w:ind w:left="5554"/>
      </w:pPr>
      <w:rPr>
        <w:rFonts w:cs="Calibri" w:hAnsi="Calibri" w:eastAsia="Calibri" w:ascii="Calibri"/>
        <w:b w:val="1"/>
        <w:bCs/>
        <w:i w:val="0"/>
        <w:strike w:val="0"/>
        <w:dstrike w:val="0"/>
        <w:color w:val="000000"/>
        <w:sz w:val="18"/>
        <w:szCs w:val="18"/>
        <w:u w:val="none" w:color="000000"/>
        <w:bdr w:val="none"/>
        <w:shd w:val="clear"/>
        <w:vertAlign w:val="baseline"/>
      </w:rPr>
    </w:lvl>
    <w:lvl w:ilvl="8">
      <w:start w:val="1"/>
      <w:numFmt w:val="bullet"/>
      <w:lvlText w:val="▪"/>
      <w:pPr>
        <w:ind w:left="6274"/>
      </w:pPr>
      <w:rPr>
        <w:rFonts w:cs="Calibri" w:hAnsi="Calibri" w:eastAsia="Calibri" w:ascii="Calibri"/>
        <w:b w:val="1"/>
        <w:bCs/>
        <w:i w:val="0"/>
        <w:strike w:val="0"/>
        <w:dstrike w:val="0"/>
        <w:color w:val="000000"/>
        <w:sz w:val="18"/>
        <w:szCs w:val="18"/>
        <w:u w:val="none" w:color="000000"/>
        <w:bdr w:val="none"/>
        <w:shd w:val="clear"/>
        <w:vertAlign w:val="baseline"/>
      </w:rPr>
    </w:lvl>
  </w:abstractNum>
  <w:abstractNum w:abstractNumId="38">
    <w:multiLevelType w:val="hybridMultilevel"/>
    <w:lvl w:ilvl="0">
      <w:start w:val="1"/>
      <w:numFmt w:val="decimal"/>
      <w:lvlText w:val="%1)"/>
      <w:pPr>
        <w:ind w:left="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187"/>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907"/>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627"/>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347"/>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067"/>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787"/>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507"/>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227"/>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39">
    <w:multiLevelType w:val="hybridMultilevel"/>
    <w:lvl w:ilvl="0">
      <w:start w:val="1"/>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627"/>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347"/>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3067"/>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787"/>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507"/>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227"/>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947"/>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667"/>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40">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7"/>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7"/>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1">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7"/>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7"/>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2">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3">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4">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7"/>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7"/>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5">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7"/>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7"/>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6">
    <w:multiLevelType w:val="hybridMultilevel"/>
    <w:lvl w:ilvl="0">
      <w:start w:val="1"/>
      <w:numFmt w:val="bullet"/>
      <w:lvlText w:val="•"/>
      <w:pPr>
        <w:ind w:left="36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1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19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62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3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0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478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5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2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47">
    <w:multiLevelType w:val="hybridMultilevel"/>
    <w:lvl w:ilvl="0">
      <w:start w:val="8"/>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619"/>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339"/>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3059"/>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779"/>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499"/>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219"/>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939"/>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659"/>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48">
    <w:multiLevelType w:val="hybridMultilevel"/>
    <w:lvl w:ilvl="0">
      <w:start w:val="13"/>
      <w:numFmt w:val="decimal"/>
      <w:lvlText w:val="%1."/>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62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2340"/>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3060"/>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780"/>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500"/>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5220"/>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940"/>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660"/>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49">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50">
    <w:multiLevelType w:val="hybridMultilevel"/>
    <w:lvl w:ilvl="0">
      <w:start w:val="1"/>
      <w:numFmt w:val="bullet"/>
      <w:lvlText w:val="•"/>
      <w:pPr>
        <w:ind w:left="720"/>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54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22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987"/>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70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42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5147"/>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86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587"/>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51">
    <w:multiLevelType w:val="hybridMultilevel"/>
    <w:lvl w:ilvl="0">
      <w:start w:val="1"/>
      <w:numFmt w:val="decimal"/>
      <w:lvlText w:val="%1."/>
      <w:pPr>
        <w:ind w:left="360"/>
      </w:pPr>
      <w:rPr>
        <w:rFonts w:cs="Calibri" w:hAnsi="Calibri" w:eastAsia="Calibri" w:ascii="Calibri"/>
        <w:b w:val="0"/>
        <w:i w:val="0"/>
        <w:strike w:val="0"/>
        <w:dstrike w:val="0"/>
        <w:color w:val="000000"/>
        <w:sz w:val="22"/>
        <w:szCs w:val="22"/>
        <w:u w:val="none" w:color="000000"/>
        <w:bdr w:val="none"/>
        <w:shd w:val="clear"/>
        <w:vertAlign w:val="baseline"/>
      </w:rPr>
    </w:lvl>
    <w:lvl w:ilvl="1">
      <w:start w:val="1"/>
      <w:numFmt w:val="lowerLetter"/>
      <w:lvlText w:val="%2"/>
      <w:pPr>
        <w:ind w:left="1187"/>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907"/>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627"/>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3347"/>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4067"/>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787"/>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507"/>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6227"/>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52">
    <w:multiLevelType w:val="hybridMultilevel"/>
    <w:lvl w:ilvl="0">
      <w:start w:val="1"/>
      <w:numFmt w:val="bullet"/>
      <w:lvlText w:val=""/>
      <w:pPr>
        <w:ind w:left="720"/>
      </w:pPr>
      <w:rPr>
        <w:rFonts w:cs="Wingdings" w:hAnsi="Wingdings" w:eastAsia="Wingdings" w:ascii="Wingdings"/>
        <w:b w:val="0"/>
        <w:i w:val="0"/>
        <w:strike w:val="0"/>
        <w:dstrike w:val="0"/>
        <w:color w:val="000000"/>
        <w:sz w:val="16"/>
        <w:szCs w:val="16"/>
        <w:u w:val="none" w:color="000000"/>
        <w:bdr w:val="none"/>
        <w:shd w:val="clear"/>
        <w:vertAlign w:val="baseline"/>
      </w:rPr>
    </w:lvl>
    <w:lvl w:ilvl="1">
      <w:start w:val="1"/>
      <w:numFmt w:val="bullet"/>
      <w:lvlText w:val="o"/>
      <w:pPr>
        <w:ind w:left="1187"/>
      </w:pPr>
      <w:rPr>
        <w:rFonts w:cs="Wingdings" w:hAnsi="Wingdings" w:eastAsia="Wingdings" w:ascii="Wingdings"/>
        <w:b w:val="0"/>
        <w:i w:val="0"/>
        <w:strike w:val="0"/>
        <w:dstrike w:val="0"/>
        <w:color w:val="000000"/>
        <w:sz w:val="16"/>
        <w:szCs w:val="16"/>
        <w:u w:val="none" w:color="000000"/>
        <w:bdr w:val="none"/>
        <w:shd w:val="clear"/>
        <w:vertAlign w:val="baseline"/>
      </w:rPr>
    </w:lvl>
    <w:lvl w:ilvl="2">
      <w:start w:val="1"/>
      <w:numFmt w:val="bullet"/>
      <w:lvlText w:val="▪"/>
      <w:pPr>
        <w:ind w:left="1907"/>
      </w:pPr>
      <w:rPr>
        <w:rFonts w:cs="Wingdings" w:hAnsi="Wingdings" w:eastAsia="Wingdings" w:ascii="Wingdings"/>
        <w:b w:val="0"/>
        <w:i w:val="0"/>
        <w:strike w:val="0"/>
        <w:dstrike w:val="0"/>
        <w:color w:val="000000"/>
        <w:sz w:val="16"/>
        <w:szCs w:val="16"/>
        <w:u w:val="none" w:color="000000"/>
        <w:bdr w:val="none"/>
        <w:shd w:val="clear"/>
        <w:vertAlign w:val="baseline"/>
      </w:rPr>
    </w:lvl>
    <w:lvl w:ilvl="3">
      <w:start w:val="1"/>
      <w:numFmt w:val="bullet"/>
      <w:lvlText w:val="•"/>
      <w:pPr>
        <w:ind w:left="2627"/>
      </w:pPr>
      <w:rPr>
        <w:rFonts w:cs="Wingdings" w:hAnsi="Wingdings" w:eastAsia="Wingdings" w:ascii="Wingdings"/>
        <w:b w:val="0"/>
        <w:i w:val="0"/>
        <w:strike w:val="0"/>
        <w:dstrike w:val="0"/>
        <w:color w:val="000000"/>
        <w:sz w:val="16"/>
        <w:szCs w:val="16"/>
        <w:u w:val="none" w:color="000000"/>
        <w:bdr w:val="none"/>
        <w:shd w:val="clear"/>
        <w:vertAlign w:val="baseline"/>
      </w:rPr>
    </w:lvl>
    <w:lvl w:ilvl="4">
      <w:start w:val="1"/>
      <w:numFmt w:val="bullet"/>
      <w:lvlText w:val="o"/>
      <w:pPr>
        <w:ind w:left="3347"/>
      </w:pPr>
      <w:rPr>
        <w:rFonts w:cs="Wingdings" w:hAnsi="Wingdings" w:eastAsia="Wingdings" w:ascii="Wingdings"/>
        <w:b w:val="0"/>
        <w:i w:val="0"/>
        <w:strike w:val="0"/>
        <w:dstrike w:val="0"/>
        <w:color w:val="000000"/>
        <w:sz w:val="16"/>
        <w:szCs w:val="16"/>
        <w:u w:val="none" w:color="000000"/>
        <w:bdr w:val="none"/>
        <w:shd w:val="clear"/>
        <w:vertAlign w:val="baseline"/>
      </w:rPr>
    </w:lvl>
    <w:lvl w:ilvl="5">
      <w:start w:val="1"/>
      <w:numFmt w:val="bullet"/>
      <w:lvlText w:val="▪"/>
      <w:pPr>
        <w:ind w:left="4067"/>
      </w:pPr>
      <w:rPr>
        <w:rFonts w:cs="Wingdings" w:hAnsi="Wingdings" w:eastAsia="Wingdings" w:ascii="Wingdings"/>
        <w:b w:val="0"/>
        <w:i w:val="0"/>
        <w:strike w:val="0"/>
        <w:dstrike w:val="0"/>
        <w:color w:val="000000"/>
        <w:sz w:val="16"/>
        <w:szCs w:val="16"/>
        <w:u w:val="none" w:color="000000"/>
        <w:bdr w:val="none"/>
        <w:shd w:val="clear"/>
        <w:vertAlign w:val="baseline"/>
      </w:rPr>
    </w:lvl>
    <w:lvl w:ilvl="6">
      <w:start w:val="1"/>
      <w:numFmt w:val="bullet"/>
      <w:lvlText w:val="•"/>
      <w:pPr>
        <w:ind w:left="4787"/>
      </w:pPr>
      <w:rPr>
        <w:rFonts w:cs="Wingdings" w:hAnsi="Wingdings" w:eastAsia="Wingdings" w:ascii="Wingdings"/>
        <w:b w:val="0"/>
        <w:i w:val="0"/>
        <w:strike w:val="0"/>
        <w:dstrike w:val="0"/>
        <w:color w:val="000000"/>
        <w:sz w:val="16"/>
        <w:szCs w:val="16"/>
        <w:u w:val="none" w:color="000000"/>
        <w:bdr w:val="none"/>
        <w:shd w:val="clear"/>
        <w:vertAlign w:val="baseline"/>
      </w:rPr>
    </w:lvl>
    <w:lvl w:ilvl="7">
      <w:start w:val="1"/>
      <w:numFmt w:val="bullet"/>
      <w:lvlText w:val="o"/>
      <w:pPr>
        <w:ind w:left="5507"/>
      </w:pPr>
      <w:rPr>
        <w:rFonts w:cs="Wingdings" w:hAnsi="Wingdings" w:eastAsia="Wingdings" w:ascii="Wingdings"/>
        <w:b w:val="0"/>
        <w:i w:val="0"/>
        <w:strike w:val="0"/>
        <w:dstrike w:val="0"/>
        <w:color w:val="000000"/>
        <w:sz w:val="16"/>
        <w:szCs w:val="16"/>
        <w:u w:val="none" w:color="000000"/>
        <w:bdr w:val="none"/>
        <w:shd w:val="clear"/>
        <w:vertAlign w:val="baseline"/>
      </w:rPr>
    </w:lvl>
    <w:lvl w:ilvl="8">
      <w:start w:val="1"/>
      <w:numFmt w:val="bullet"/>
      <w:lvlText w:val="▪"/>
      <w:pPr>
        <w:ind w:left="6227"/>
      </w:pPr>
      <w:rPr>
        <w:rFonts w:cs="Wingdings" w:hAnsi="Wingdings" w:eastAsia="Wingdings" w:ascii="Wingdings"/>
        <w:b w:val="0"/>
        <w:i w:val="0"/>
        <w:strike w:val="0"/>
        <w:dstrike w:val="0"/>
        <w:color w:val="000000"/>
        <w:sz w:val="16"/>
        <w:szCs w:val="16"/>
        <w:u w:val="none" w:color="000000"/>
        <w:bdr w:val="none"/>
        <w:shd w:val="clear"/>
        <w:vertAlign w:val="baseline"/>
      </w:rPr>
    </w:lvl>
  </w:abstractNum>
  <w:abstractNum w:abstractNumId="53">
    <w:multiLevelType w:val="hybridMultilevel"/>
    <w:lvl w:ilvl="0">
      <w:start w:val="1"/>
      <w:numFmt w:val="bullet"/>
      <w:lvlText w:val=""/>
      <w:pPr>
        <w:ind w:left="720"/>
      </w:pPr>
      <w:rPr>
        <w:rFonts w:cs="Wingdings" w:hAnsi="Wingdings" w:eastAsia="Wingdings" w:ascii="Wingdings"/>
        <w:b w:val="0"/>
        <w:i w:val="0"/>
        <w:strike w:val="0"/>
        <w:dstrike w:val="0"/>
        <w:color w:val="000000"/>
        <w:sz w:val="16"/>
        <w:szCs w:val="16"/>
        <w:u w:val="none" w:color="000000"/>
        <w:bdr w:val="none"/>
        <w:shd w:val="clear"/>
        <w:vertAlign w:val="baseline"/>
      </w:rPr>
    </w:lvl>
    <w:lvl w:ilvl="1">
      <w:start w:val="1"/>
      <w:numFmt w:val="decimal"/>
      <w:lvlText w:val="%2."/>
      <w:pPr>
        <w:ind w:left="720"/>
      </w:pPr>
      <w:rPr>
        <w:rFonts w:cs="Calibri" w:hAnsi="Calibri" w:eastAsia="Calibri" w:ascii="Calibri"/>
        <w:b w:val="0"/>
        <w:i w:val="0"/>
        <w:strike w:val="0"/>
        <w:dstrike w:val="0"/>
        <w:color w:val="000000"/>
        <w:sz w:val="22"/>
        <w:szCs w:val="22"/>
        <w:u w:val="none" w:color="000000"/>
        <w:bdr w:val="none"/>
        <w:shd w:val="clear"/>
        <w:vertAlign w:val="baseline"/>
      </w:rPr>
    </w:lvl>
    <w:lvl w:ilvl="2">
      <w:start w:val="1"/>
      <w:numFmt w:val="lowerRoman"/>
      <w:lvlText w:val="%3"/>
      <w:pPr>
        <w:ind w:left="1548"/>
      </w:pPr>
      <w:rPr>
        <w:rFonts w:cs="Calibri" w:hAnsi="Calibri" w:eastAsia="Calibri" w:ascii="Calibri"/>
        <w:b w:val="0"/>
        <w:i w:val="0"/>
        <w:strike w:val="0"/>
        <w:dstrike w:val="0"/>
        <w:color w:val="000000"/>
        <w:sz w:val="22"/>
        <w:szCs w:val="22"/>
        <w:u w:val="none" w:color="000000"/>
        <w:bdr w:val="none"/>
        <w:shd w:val="clear"/>
        <w:vertAlign w:val="baseline"/>
      </w:rPr>
    </w:lvl>
    <w:lvl w:ilvl="3">
      <w:start w:val="1"/>
      <w:numFmt w:val="decimal"/>
      <w:lvlText w:val="%4"/>
      <w:pPr>
        <w:ind w:left="2268"/>
      </w:pPr>
      <w:rPr>
        <w:rFonts w:cs="Calibri" w:hAnsi="Calibri" w:eastAsia="Calibri" w:ascii="Calibri"/>
        <w:b w:val="0"/>
        <w:i w:val="0"/>
        <w:strike w:val="0"/>
        <w:dstrike w:val="0"/>
        <w:color w:val="000000"/>
        <w:sz w:val="22"/>
        <w:szCs w:val="22"/>
        <w:u w:val="none" w:color="000000"/>
        <w:bdr w:val="none"/>
        <w:shd w:val="clear"/>
        <w:vertAlign w:val="baseline"/>
      </w:rPr>
    </w:lvl>
    <w:lvl w:ilvl="4">
      <w:start w:val="1"/>
      <w:numFmt w:val="lowerLetter"/>
      <w:lvlText w:val="%5"/>
      <w:pPr>
        <w:ind w:left="2988"/>
      </w:pPr>
      <w:rPr>
        <w:rFonts w:cs="Calibri" w:hAnsi="Calibri" w:eastAsia="Calibri" w:ascii="Calibri"/>
        <w:b w:val="0"/>
        <w:i w:val="0"/>
        <w:strike w:val="0"/>
        <w:dstrike w:val="0"/>
        <w:color w:val="000000"/>
        <w:sz w:val="22"/>
        <w:szCs w:val="22"/>
        <w:u w:val="none" w:color="000000"/>
        <w:bdr w:val="none"/>
        <w:shd w:val="clear"/>
        <w:vertAlign w:val="baseline"/>
      </w:rPr>
    </w:lvl>
    <w:lvl w:ilvl="5">
      <w:start w:val="1"/>
      <w:numFmt w:val="lowerRoman"/>
      <w:lvlText w:val="%6"/>
      <w:pPr>
        <w:ind w:left="3708"/>
      </w:pPr>
      <w:rPr>
        <w:rFonts w:cs="Calibri" w:hAnsi="Calibri" w:eastAsia="Calibri" w:ascii="Calibri"/>
        <w:b w:val="0"/>
        <w:i w:val="0"/>
        <w:strike w:val="0"/>
        <w:dstrike w:val="0"/>
        <w:color w:val="000000"/>
        <w:sz w:val="22"/>
        <w:szCs w:val="22"/>
        <w:u w:val="none" w:color="000000"/>
        <w:bdr w:val="none"/>
        <w:shd w:val="clear"/>
        <w:vertAlign w:val="baseline"/>
      </w:rPr>
    </w:lvl>
    <w:lvl w:ilvl="6">
      <w:start w:val="1"/>
      <w:numFmt w:val="decimal"/>
      <w:lvlText w:val="%7"/>
      <w:pPr>
        <w:ind w:left="4428"/>
      </w:pPr>
      <w:rPr>
        <w:rFonts w:cs="Calibri" w:hAnsi="Calibri" w:eastAsia="Calibri" w:ascii="Calibri"/>
        <w:b w:val="0"/>
        <w:i w:val="0"/>
        <w:strike w:val="0"/>
        <w:dstrike w:val="0"/>
        <w:color w:val="000000"/>
        <w:sz w:val="22"/>
        <w:szCs w:val="22"/>
        <w:u w:val="none" w:color="000000"/>
        <w:bdr w:val="none"/>
        <w:shd w:val="clear"/>
        <w:vertAlign w:val="baseline"/>
      </w:rPr>
    </w:lvl>
    <w:lvl w:ilvl="7">
      <w:start w:val="1"/>
      <w:numFmt w:val="lowerLetter"/>
      <w:lvlText w:val="%8"/>
      <w:pPr>
        <w:ind w:left="5148"/>
      </w:pPr>
      <w:rPr>
        <w:rFonts w:cs="Calibri" w:hAnsi="Calibri" w:eastAsia="Calibri" w:ascii="Calibri"/>
        <w:b w:val="0"/>
        <w:i w:val="0"/>
        <w:strike w:val="0"/>
        <w:dstrike w:val="0"/>
        <w:color w:val="000000"/>
        <w:sz w:val="22"/>
        <w:szCs w:val="22"/>
        <w:u w:val="none" w:color="000000"/>
        <w:bdr w:val="none"/>
        <w:shd w:val="clear"/>
        <w:vertAlign w:val="baseline"/>
      </w:rPr>
    </w:lvl>
    <w:lvl w:ilvl="8">
      <w:start w:val="1"/>
      <w:numFmt w:val="lowerRoman"/>
      <w:lvlText w:val="%9"/>
      <w:pPr>
        <w:ind w:left="5868"/>
      </w:pPr>
      <w:rPr>
        <w:rFonts w:cs="Calibri" w:hAnsi="Calibri" w:eastAsia="Calibri" w:ascii="Calibri"/>
        <w:b w:val="0"/>
        <w:i w:val="0"/>
        <w:strike w:val="0"/>
        <w:dstrike w:val="0"/>
        <w:color w:val="000000"/>
        <w:sz w:val="22"/>
        <w:szCs w:val="22"/>
        <w:u w:val="none" w:color="000000"/>
        <w:bdr w:val="none"/>
        <w:shd w:val="clear"/>
        <w:vertAlign w:val="baseline"/>
      </w:rPr>
    </w:lvl>
  </w:abstractNum>
  <w:abstractNum w:abstractNumId="54">
    <w:multiLevelType w:val="hybridMultilevel"/>
    <w:lvl w:ilvl="0">
      <w:start w:val="1"/>
      <w:numFmt w:val="decimal"/>
      <w:lvlText w:val="%1."/>
      <w:pPr>
        <w:ind w:left="125"/>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1">
      <w:start w:val="1"/>
      <w:numFmt w:val="lowerLetter"/>
      <w:lvlText w:val="%2"/>
      <w:pPr>
        <w:ind w:left="10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2">
      <w:start w:val="1"/>
      <w:numFmt w:val="lowerRoman"/>
      <w:lvlText w:val="%3"/>
      <w:pPr>
        <w:ind w:left="18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3">
      <w:start w:val="1"/>
      <w:numFmt w:val="decimal"/>
      <w:lvlText w:val="%4"/>
      <w:pPr>
        <w:ind w:left="25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4">
      <w:start w:val="1"/>
      <w:numFmt w:val="lowerLetter"/>
      <w:lvlText w:val="%5"/>
      <w:pPr>
        <w:ind w:left="325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5">
      <w:start w:val="1"/>
      <w:numFmt w:val="lowerRoman"/>
      <w:lvlText w:val="%6"/>
      <w:pPr>
        <w:ind w:left="397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6">
      <w:start w:val="1"/>
      <w:numFmt w:val="decimal"/>
      <w:lvlText w:val="%7"/>
      <w:pPr>
        <w:ind w:left="46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7">
      <w:start w:val="1"/>
      <w:numFmt w:val="lowerLetter"/>
      <w:lvlText w:val="%8"/>
      <w:pPr>
        <w:ind w:left="54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8">
      <w:start w:val="1"/>
      <w:numFmt w:val="lowerRoman"/>
      <w:lvlText w:val="%9"/>
      <w:pPr>
        <w:ind w:left="61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abstractNum>
  <w:abstractNum w:abstractNumId="55">
    <w:multiLevelType w:val="hybridMultilevel"/>
    <w:lvl w:ilvl="0">
      <w:start w:val="5"/>
      <w:numFmt w:val="decimal"/>
      <w:lvlText w:val="%1."/>
      <w:pPr>
        <w:ind w:left="0"/>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1">
      <w:start w:val="1"/>
      <w:numFmt w:val="lowerLetter"/>
      <w:lvlText w:val="%2"/>
      <w:pPr>
        <w:ind w:left="350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2">
      <w:start w:val="1"/>
      <w:numFmt w:val="lowerRoman"/>
      <w:lvlText w:val="%3"/>
      <w:pPr>
        <w:ind w:left="422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3">
      <w:start w:val="1"/>
      <w:numFmt w:val="decimal"/>
      <w:lvlText w:val="%4"/>
      <w:pPr>
        <w:ind w:left="494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4">
      <w:start w:val="1"/>
      <w:numFmt w:val="lowerLetter"/>
      <w:lvlText w:val="%5"/>
      <w:pPr>
        <w:ind w:left="566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5">
      <w:start w:val="1"/>
      <w:numFmt w:val="lowerRoman"/>
      <w:lvlText w:val="%6"/>
      <w:pPr>
        <w:ind w:left="638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6">
      <w:start w:val="1"/>
      <w:numFmt w:val="decimal"/>
      <w:lvlText w:val="%7"/>
      <w:pPr>
        <w:ind w:left="710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7">
      <w:start w:val="1"/>
      <w:numFmt w:val="lowerLetter"/>
      <w:lvlText w:val="%8"/>
      <w:pPr>
        <w:ind w:left="782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8">
      <w:start w:val="1"/>
      <w:numFmt w:val="lowerRoman"/>
      <w:lvlText w:val="%9"/>
      <w:pPr>
        <w:ind w:left="8548"/>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abstractNum>
  <w:abstractNum w:abstractNumId="56">
    <w:multiLevelType w:val="hybridMultilevel"/>
    <w:lvl w:ilvl="0">
      <w:start w:val="5"/>
      <w:numFmt w:val="decimal"/>
      <w:lvlText w:val="%1."/>
      <w:pPr>
        <w:ind w:left="126"/>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1">
      <w:start w:val="1"/>
      <w:numFmt w:val="lowerLetter"/>
      <w:lvlText w:val="%2"/>
      <w:pPr>
        <w:ind w:left="10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2">
      <w:start w:val="1"/>
      <w:numFmt w:val="lowerRoman"/>
      <w:lvlText w:val="%3"/>
      <w:pPr>
        <w:ind w:left="18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3">
      <w:start w:val="1"/>
      <w:numFmt w:val="decimal"/>
      <w:lvlText w:val="%4"/>
      <w:pPr>
        <w:ind w:left="25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4">
      <w:start w:val="1"/>
      <w:numFmt w:val="lowerLetter"/>
      <w:lvlText w:val="%5"/>
      <w:pPr>
        <w:ind w:left="325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5">
      <w:start w:val="1"/>
      <w:numFmt w:val="lowerRoman"/>
      <w:lvlText w:val="%6"/>
      <w:pPr>
        <w:ind w:left="397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6">
      <w:start w:val="1"/>
      <w:numFmt w:val="decimal"/>
      <w:lvlText w:val="%7"/>
      <w:pPr>
        <w:ind w:left="46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7">
      <w:start w:val="1"/>
      <w:numFmt w:val="lowerLetter"/>
      <w:lvlText w:val="%8"/>
      <w:pPr>
        <w:ind w:left="54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8">
      <w:start w:val="1"/>
      <w:numFmt w:val="lowerRoman"/>
      <w:lvlText w:val="%9"/>
      <w:pPr>
        <w:ind w:left="61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abstractNum>
  <w:abstractNum w:abstractNumId="57">
    <w:multiLevelType w:val="hybridMultilevel"/>
    <w:lvl w:ilvl="0">
      <w:start w:val="1"/>
      <w:numFmt w:val="decimal"/>
      <w:lvlText w:val="%1"/>
      <w:pPr>
        <w:ind w:left="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1">
      <w:start w:val="1"/>
      <w:numFmt w:val="lowerLetter"/>
      <w:lvlText w:val="%2"/>
      <w:pPr>
        <w:ind w:left="10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2">
      <w:start w:val="1"/>
      <w:numFmt w:val="lowerRoman"/>
      <w:lvlText w:val="%3"/>
      <w:pPr>
        <w:ind w:left="18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3">
      <w:start w:val="1"/>
      <w:numFmt w:val="decimal"/>
      <w:lvlText w:val="%4"/>
      <w:pPr>
        <w:ind w:left="25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4">
      <w:start w:val="1"/>
      <w:numFmt w:val="lowerLetter"/>
      <w:lvlText w:val="%5"/>
      <w:pPr>
        <w:ind w:left="325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5">
      <w:start w:val="1"/>
      <w:numFmt w:val="lowerRoman"/>
      <w:lvlText w:val="%6"/>
      <w:pPr>
        <w:ind w:left="397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6">
      <w:start w:val="1"/>
      <w:numFmt w:val="decimal"/>
      <w:lvlText w:val="%7"/>
      <w:pPr>
        <w:ind w:left="469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7">
      <w:start w:val="1"/>
      <w:numFmt w:val="lowerLetter"/>
      <w:lvlText w:val="%8"/>
      <w:pPr>
        <w:ind w:left="541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lvl w:ilvl="8">
      <w:start w:val="1"/>
      <w:numFmt w:val="lowerRoman"/>
      <w:lvlText w:val="%9"/>
      <w:pPr>
        <w:ind w:left="6139"/>
      </w:pPr>
      <w:rPr>
        <w:rFonts w:cs="Times New Roman" w:hAnsi="Times New Roman" w:eastAsia="Times New Roman" w:ascii="Times New Roman"/>
        <w:b w:val="0"/>
        <w:i w:val="0"/>
        <w:strike w:val="0"/>
        <w:dstrike w:val="0"/>
        <w:color w:val="000000"/>
        <w:sz w:val="11"/>
        <w:szCs w:val="11"/>
        <w:u w:val="none" w:color="000000"/>
        <w:bdr w:val="none"/>
        <w:shd w:val="clear"/>
        <w:vertAlign w:val="baseline"/>
      </w:rPr>
    </w:lvl>
  </w:abstractNum>
  <w:abstractNum w:abstractNumId="58">
    <w:multiLevelType w:val="hybridMultilevel"/>
    <w:lvl w:ilvl="0">
      <w:start w:val="1"/>
      <w:numFmt w:val="bullet"/>
      <w:lvlText w:val="•"/>
      <w:pPr>
        <w:ind w:left="509"/>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1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19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62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3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0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478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5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2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abstractNum w:abstractNumId="59">
    <w:multiLevelType w:val="hybridMultilevel"/>
    <w:lvl w:ilvl="0">
      <w:start w:val="1"/>
      <w:numFmt w:val="bullet"/>
      <w:lvlText w:val="•"/>
      <w:pPr>
        <w:ind w:left="468"/>
      </w:pPr>
      <w:rPr>
        <w:rFonts w:cs="Arial" w:hAnsi="Arial" w:eastAsia="Arial" w:ascii="Arial"/>
        <w:b w:val="0"/>
        <w:i w:val="0"/>
        <w:strike w:val="0"/>
        <w:dstrike w:val="0"/>
        <w:color w:val="000000"/>
        <w:sz w:val="22"/>
        <w:szCs w:val="22"/>
        <w:u w:val="none" w:color="000000"/>
        <w:bdr w:val="none"/>
        <w:shd w:val="clear"/>
        <w:vertAlign w:val="baseline"/>
      </w:rPr>
    </w:lvl>
    <w:lvl w:ilvl="1">
      <w:start w:val="1"/>
      <w:numFmt w:val="bullet"/>
      <w:lvlText w:val="o"/>
      <w:pPr>
        <w:ind w:left="118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2">
      <w:start w:val="1"/>
      <w:numFmt w:val="bullet"/>
      <w:lvlText w:val="▪"/>
      <w:pPr>
        <w:ind w:left="19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3">
      <w:start w:val="1"/>
      <w:numFmt w:val="bullet"/>
      <w:lvlText w:val="•"/>
      <w:pPr>
        <w:ind w:left="2628"/>
      </w:pPr>
      <w:rPr>
        <w:rFonts w:cs="Arial" w:hAnsi="Arial" w:eastAsia="Arial" w:ascii="Arial"/>
        <w:b w:val="0"/>
        <w:i w:val="0"/>
        <w:strike w:val="0"/>
        <w:dstrike w:val="0"/>
        <w:color w:val="000000"/>
        <w:sz w:val="22"/>
        <w:szCs w:val="22"/>
        <w:u w:val="none" w:color="000000"/>
        <w:bdr w:val="none"/>
        <w:shd w:val="clear"/>
        <w:vertAlign w:val="baseline"/>
      </w:rPr>
    </w:lvl>
    <w:lvl w:ilvl="4">
      <w:start w:val="1"/>
      <w:numFmt w:val="bullet"/>
      <w:lvlText w:val="o"/>
      <w:pPr>
        <w:ind w:left="334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5">
      <w:start w:val="1"/>
      <w:numFmt w:val="bullet"/>
      <w:lvlText w:val="▪"/>
      <w:pPr>
        <w:ind w:left="406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6">
      <w:start w:val="1"/>
      <w:numFmt w:val="bullet"/>
      <w:lvlText w:val="•"/>
      <w:pPr>
        <w:ind w:left="4788"/>
      </w:pPr>
      <w:rPr>
        <w:rFonts w:cs="Arial" w:hAnsi="Arial" w:eastAsia="Arial" w:ascii="Arial"/>
        <w:b w:val="0"/>
        <w:i w:val="0"/>
        <w:strike w:val="0"/>
        <w:dstrike w:val="0"/>
        <w:color w:val="000000"/>
        <w:sz w:val="22"/>
        <w:szCs w:val="22"/>
        <w:u w:val="none" w:color="000000"/>
        <w:bdr w:val="none"/>
        <w:shd w:val="clear"/>
        <w:vertAlign w:val="baseline"/>
      </w:rPr>
    </w:lvl>
    <w:lvl w:ilvl="7">
      <w:start w:val="1"/>
      <w:numFmt w:val="bullet"/>
      <w:lvlText w:val="o"/>
      <w:pPr>
        <w:ind w:left="550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lvl w:ilvl="8">
      <w:start w:val="1"/>
      <w:numFmt w:val="bullet"/>
      <w:lvlText w:val="▪"/>
      <w:pPr>
        <w:ind w:left="6228"/>
      </w:pPr>
      <w:rPr>
        <w:rFonts w:cs="Segoe UI Symbol" w:hAnsi="Segoe UI Symbol" w:eastAsia="Segoe UI Symbol" w:ascii="Segoe UI Symbol"/>
        <w:b w:val="0"/>
        <w:i w:val="0"/>
        <w:strike w:val="0"/>
        <w:dstrike w:val="0"/>
        <w:color w:val="000000"/>
        <w:sz w:val="22"/>
        <w:szCs w:val="22"/>
        <w:u w:val="none" w:color="000000"/>
        <w:bdr w:val="none"/>
        <w:shd w:val="clear"/>
        <w:vertAlign w:val="baseli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bering>
</file>

<file path=word/settings.xml><?xml version="1.0" encoding="utf-8"?>
<w:settings xmlns:mc="http://schemas.openxmlformats.org/markup-compatibility/2006" xmlns:w14="http://schemas.microsoft.com/office/word/2010/wordml" xmlns:r="http://schemas.openxmlformats.org/officeDocument/2006/relationships" xmlns:w="http://schemas.openxmlformats.org/wordprocessingml/2006/main" mc:Ignorable="w14">
  <w:evenAndOddHeaders/>
  <w:footnotePr>
    <w:footnote w:id="-1"/>
    <w:footnote w:id="0"/>
  </w:footnotePr>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14="http://schemas.microsoft.com/office/word/2010/wordml" xmlns:w15="http://schemas.microsoft.com/office/word/2012/wordml" xmlns:w="http://schemas.openxmlformats.org/wordprocessingml/2006/main" mc:Ignorable="w14 w15">
  <w:style w:type="paragraph" w:styleId="heading6">
    <w:name w:val="Heading 6"/>
    <w:next w:val="normal"/>
    <w:link w:val="heading6Char"/>
    <w:uiPriority w:val="9"/>
    <w:unhideWhenUsed/>
    <w:qFormat/>
    <w:pPr>
      <w:keepNext/>
      <w:keepLines/>
      <w:bidi w:val="0"/>
      <w:spacing w:before="0" w:after="369" w:line="259" w:lineRule="auto"/>
      <w:ind w:left="0" w:right="147" w:firstLine="0"/>
      <w:jc w:val="right"/>
      <w:outlineLvl w:val="5"/>
    </w:pPr>
    <w:rPr>
      <w:rFonts w:cs="Calibri" w:hAnsi="Calibri" w:eastAsia="Calibri" w:ascii="Calibri"/>
      <w:color w:val="000000"/>
      <w:sz w:val="17"/>
    </w:rPr>
  </w:style>
  <w:style w:type="character" w:styleId="heading6Char">
    <w:name w:val="Heading 6 Char"/>
    <w:link w:val="heading6"/>
    <w:rPr>
      <w:rFonts w:cs="Calibri" w:hAnsi="Calibri" w:eastAsia="Calibri" w:ascii="Calibri"/>
      <w:color w:val="000000"/>
      <w:sz w:val="17"/>
    </w:rPr>
  </w:style>
  <w:style w:type="paragraph" w:styleId="normal" w:default="true">
    <w:name w:val="Normal"/>
    <w:qFormat/>
    <w:pPr>
      <w:bidi w:val="0"/>
      <w:spacing w:before="0" w:after="3" w:line="248" w:lineRule="auto"/>
      <w:ind w:left="10" w:right="78" w:hanging="10"/>
      <w:jc w:val="both"/>
    </w:pPr>
    <w:rPr>
      <w:rFonts w:cs="Calibri" w:hAnsi="Calibri" w:eastAsia="Calibri" w:ascii="Calibri"/>
      <w:color w:val="000000"/>
      <w:sz w:val="22"/>
    </w:rPr>
  </w:style>
  <w:style w:type="paragraph" w:styleId="heading4">
    <w:name w:val="Heading 4"/>
    <w:next w:val="normal"/>
    <w:link w:val="heading4Char"/>
    <w:uiPriority w:val="9"/>
    <w:unhideWhenUsed/>
    <w:qFormat/>
    <w:pPr>
      <w:keepNext/>
      <w:keepLines/>
      <w:bidi w:val="0"/>
      <w:spacing w:before="0" w:after="38" w:line="259" w:lineRule="auto"/>
      <w:ind w:left="10" w:right="3732" w:hanging="10"/>
      <w:jc w:val="left"/>
      <w:outlineLvl w:val="3"/>
    </w:pPr>
    <w:rPr>
      <w:rFonts w:cs="Calibri" w:hAnsi="Calibri" w:eastAsia="Calibri" w:ascii="Calibri"/>
      <w:b w:val="1"/>
      <w:color w:val="000000"/>
      <w:sz w:val="22"/>
    </w:rPr>
  </w:style>
  <w:style w:type="character" w:styleId="heading4Char">
    <w:name w:val="Heading 4 Char"/>
    <w:link w:val="heading4"/>
    <w:rPr>
      <w:rFonts w:cs="Calibri" w:hAnsi="Calibri" w:eastAsia="Calibri" w:ascii="Calibri"/>
      <w:b w:val="1"/>
      <w:color w:val="000000"/>
      <w:sz w:val="22"/>
    </w:rPr>
  </w:style>
  <w:style w:type="paragraph" w:styleId="heading5">
    <w:name w:val="Heading 5"/>
    <w:next w:val="normal"/>
    <w:link w:val="heading5Char"/>
    <w:uiPriority w:val="9"/>
    <w:unhideWhenUsed/>
    <w:qFormat/>
    <w:pPr>
      <w:keepNext/>
      <w:keepLines/>
      <w:bidi w:val="0"/>
      <w:spacing w:before="0" w:after="44" w:line="249" w:lineRule="auto"/>
      <w:ind w:left="10" w:right="0" w:hanging="10"/>
      <w:jc w:val="left"/>
      <w:outlineLvl w:val="4"/>
    </w:pPr>
    <w:rPr>
      <w:rFonts w:cs="Calibri" w:hAnsi="Calibri" w:eastAsia="Calibri" w:ascii="Calibri"/>
      <w:b w:val="1"/>
      <w:i w:val="1"/>
      <w:color w:val="000000"/>
      <w:sz w:val="22"/>
    </w:rPr>
  </w:style>
  <w:style w:type="character" w:styleId="heading5Char">
    <w:name w:val="Heading 5 Char"/>
    <w:link w:val="heading5"/>
    <w:rPr>
      <w:rFonts w:cs="Calibri" w:hAnsi="Calibri" w:eastAsia="Calibri" w:ascii="Calibri"/>
      <w:b w:val="1"/>
      <w:i w:val="1"/>
      <w:color w:val="000000"/>
      <w:sz w:val="22"/>
    </w:rPr>
  </w:style>
  <w:style w:type="paragraph" w:styleId="footnote description">
    <w:name w:val="footnote description"/>
    <w:next w:val="normal"/>
    <w:link w:val="footnote descriptionChar"/>
    <w:hidden/>
    <w:pPr>
      <w:bidi w:val="0"/>
      <w:spacing w:before="0" w:after="0" w:line="259" w:lineRule="auto"/>
      <w:ind w:left="0" w:right="0" w:firstLine="0"/>
      <w:jc w:val="left"/>
    </w:pPr>
    <w:rPr>
      <w:rFonts w:cs="Calibri" w:hAnsi="Calibri" w:eastAsia="Calibri" w:ascii="Calibri"/>
      <w:color w:val="000000"/>
      <w:sz w:val="18"/>
    </w:rPr>
  </w:style>
  <w:style w:type="character" w:styleId="footnote descriptionChar">
    <w:name w:val="footnote description Char"/>
    <w:link w:val="footnote description"/>
    <w:rPr>
      <w:rFonts w:cs="Calibri" w:hAnsi="Calibri" w:eastAsia="Calibri" w:ascii="Calibri"/>
      <w:color w:val="000000"/>
      <w:sz w:val="18"/>
    </w:rPr>
  </w:style>
  <w:style w:type="paragraph" w:styleId="heading7">
    <w:name w:val="Heading 7"/>
    <w:next w:val="normal"/>
    <w:link w:val="heading7Char"/>
    <w:uiPriority w:val="9"/>
    <w:unhideWhenUsed/>
    <w:qFormat/>
    <w:pPr>
      <w:keepNext/>
      <w:keepLines/>
      <w:bidi w:val="0"/>
      <w:spacing w:before="0" w:after="99" w:line="259" w:lineRule="auto"/>
      <w:ind w:left="10" w:right="0" w:hanging="10"/>
      <w:jc w:val="left"/>
      <w:outlineLvl w:val="6"/>
    </w:pPr>
    <w:rPr>
      <w:rFonts w:cs="Times New Roman" w:hAnsi="Times New Roman" w:eastAsia="Times New Roman" w:ascii="Times New Roman"/>
      <w:b w:val="1"/>
      <w:i w:val="1"/>
      <w:color w:val="000000"/>
      <w:sz w:val="18"/>
    </w:rPr>
  </w:style>
  <w:style w:type="character" w:styleId="heading7Char">
    <w:name w:val="Heading 7 Char"/>
    <w:link w:val="heading7"/>
    <w:rPr>
      <w:rFonts w:cs="Times New Roman" w:hAnsi="Times New Roman" w:eastAsia="Times New Roman" w:ascii="Times New Roman"/>
      <w:b w:val="1"/>
      <w:i w:val="1"/>
      <w:color w:val="000000"/>
      <w:sz w:val="18"/>
    </w:rPr>
  </w:style>
  <w:style w:type="paragraph" w:styleId="heading1">
    <w:name w:val="Heading 1"/>
    <w:next w:val="normal"/>
    <w:link w:val="heading1Char"/>
    <w:uiPriority w:val="9"/>
    <w:unhideWhenUsed/>
    <w:qFormat/>
    <w:pPr>
      <w:keepNext/>
      <w:keepLines/>
      <w:bidi w:val="0"/>
      <w:spacing w:before="0" w:after="38" w:line="259" w:lineRule="auto"/>
      <w:ind w:left="10" w:right="3732" w:hanging="10"/>
      <w:jc w:val="left"/>
      <w:outlineLvl w:val="0"/>
    </w:pPr>
    <w:rPr>
      <w:rFonts w:cs="Calibri" w:hAnsi="Calibri" w:eastAsia="Calibri" w:ascii="Calibri"/>
      <w:b w:val="1"/>
      <w:color w:val="000000"/>
      <w:sz w:val="22"/>
    </w:rPr>
  </w:style>
  <w:style w:type="character" w:styleId="heading1Char">
    <w:name w:val="Heading 1 Char"/>
    <w:link w:val="heading1"/>
    <w:rPr>
      <w:rFonts w:cs="Calibri" w:hAnsi="Calibri" w:eastAsia="Calibri" w:ascii="Calibri"/>
      <w:b w:val="1"/>
      <w:color w:val="000000"/>
      <w:sz w:val="22"/>
    </w:rPr>
  </w:style>
  <w:style w:type="paragraph" w:styleId="heading2">
    <w:name w:val="Heading 2"/>
    <w:next w:val="normal"/>
    <w:link w:val="heading2Char"/>
    <w:uiPriority w:val="9"/>
    <w:unhideWhenUsed/>
    <w:qFormat/>
    <w:pPr>
      <w:keepNext/>
      <w:keepLines/>
      <w:bidi w:val="0"/>
      <w:spacing w:before="0" w:after="44" w:line="249" w:lineRule="auto"/>
      <w:ind w:left="10" w:right="0" w:hanging="10"/>
      <w:jc w:val="left"/>
      <w:outlineLvl w:val="1"/>
    </w:pPr>
    <w:rPr>
      <w:rFonts w:cs="Calibri" w:hAnsi="Calibri" w:eastAsia="Calibri" w:ascii="Calibri"/>
      <w:b w:val="1"/>
      <w:i w:val="1"/>
      <w:color w:val="000000"/>
      <w:sz w:val="22"/>
    </w:rPr>
  </w:style>
  <w:style w:type="character" w:styleId="heading2Char">
    <w:name w:val="Heading 2 Char"/>
    <w:link w:val="heading2"/>
    <w:rPr>
      <w:rFonts w:cs="Calibri" w:hAnsi="Calibri" w:eastAsia="Calibri" w:ascii="Calibri"/>
      <w:b w:val="1"/>
      <w:i w:val="1"/>
      <w:color w:val="000000"/>
      <w:sz w:val="22"/>
    </w:rPr>
  </w:style>
  <w:style w:type="paragraph" w:styleId="heading3">
    <w:name w:val="Heading 3"/>
    <w:next w:val="normal"/>
    <w:link w:val="heading3Char"/>
    <w:uiPriority w:val="9"/>
    <w:unhideWhenUsed/>
    <w:qFormat/>
    <w:pPr>
      <w:keepNext/>
      <w:keepLines/>
      <w:bidi w:val="0"/>
      <w:spacing w:before="0" w:after="109" w:line="249" w:lineRule="auto"/>
      <w:ind w:left="10" w:right="0" w:hanging="10"/>
      <w:jc w:val="left"/>
      <w:outlineLvl w:val="2"/>
    </w:pPr>
    <w:rPr>
      <w:rFonts w:cs="Calibri" w:hAnsi="Calibri" w:eastAsia="Calibri" w:ascii="Calibri"/>
      <w:i w:val="1"/>
      <w:color w:val="000000"/>
      <w:sz w:val="22"/>
    </w:rPr>
  </w:style>
  <w:style w:type="character" w:styleId="heading3Char">
    <w:name w:val="Heading 3 Char"/>
    <w:link w:val="heading3"/>
    <w:rPr>
      <w:rFonts w:cs="Calibri" w:hAnsi="Calibri" w:eastAsia="Calibri" w:ascii="Calibri"/>
      <w:i w:val="1"/>
      <w:color w:val="000000"/>
      <w:sz w:val="22"/>
    </w:rPr>
  </w:style>
  <w:style w:type="character" w:styleId="footnote mark">
    <w:name w:val="footnote mark"/>
    <w:hidden/>
    <w:rPr>
      <w:rFonts w:cs="Arial" w:hAnsi="Arial" w:eastAsia="Arial" w:ascii="Arial"/>
      <w:b w:val="1"/>
      <w:color w:val="000000"/>
      <w:sz w:val="18"/>
      <w:vertAlign w:val="superscript"/>
    </w:rPr>
  </w:style>
  <w:style w:type="table" w:styleId="TableGrid">
    <w:name w:val="TableGrid"/>
    <w:pPr>
      <w:spacing w:lineRule="auto" w:line="240" w:after="0"/>
    </w:pPr>
  </w:style>
</w:styles>
</file>

<file path=word/_rels/document.xml.rels><?xml version="1.0" encoding="UTF-8" standalone="yes"?>
<Relationships xmlns="http://schemas.openxmlformats.org/package/2006/relationships"><Relationship Id="rId117" Type="http://schemas.openxmlformats.org/officeDocument/2006/relationships/image" Target="media/image13.png"/><Relationship Id="rId89" Type="http://schemas.openxmlformats.org/officeDocument/2006/relationships/header" Target="header45.xml"/><Relationship Id="rId84" Type="http://schemas.openxmlformats.org/officeDocument/2006/relationships/footer" Target="footer42.xml"/><Relationship Id="rId63" Type="http://schemas.openxmlformats.org/officeDocument/2006/relationships/header" Target="header32.xml"/><Relationship Id="rId68" Type="http://schemas.openxmlformats.org/officeDocument/2006/relationships/footer" Target="footer34.xml"/><Relationship Id="rId42" Type="http://schemas.openxmlformats.org/officeDocument/2006/relationships/footer" Target="footer21.xml"/><Relationship Id="rId21" Type="http://schemas.openxmlformats.org/officeDocument/2006/relationships/header" Target="header11.xml"/><Relationship Id="rId47" Type="http://schemas.openxmlformats.org/officeDocument/2006/relationships/header" Target="header24.xml"/><Relationship Id="rId107" Type="http://schemas.openxmlformats.org/officeDocument/2006/relationships/header" Target="header54.xml"/><Relationship Id="rId16" Type="http://schemas.openxmlformats.org/officeDocument/2006/relationships/footer" Target="footer8.xml"/><Relationship Id="hyperlink6648" Type="http://schemas.openxmlformats.org/officeDocument/2006/relationships/hyperlink" Target="http://www.un.org/Docs/sc/committees/1267/1267ListEng.htm" TargetMode="External"/><Relationship Id="rId74" Type="http://schemas.openxmlformats.org/officeDocument/2006/relationships/footer" Target="footer37.xml"/><Relationship Id="rId37" Type="http://schemas.openxmlformats.org/officeDocument/2006/relationships/header" Target="header19.xml"/><Relationship Id="rId11" Type="http://schemas.openxmlformats.org/officeDocument/2006/relationships/header" Target="header6.xml"/><Relationship Id="rId32" Type="http://schemas.openxmlformats.org/officeDocument/2006/relationships/footer" Target="footer16.xml"/><Relationship Id="rId79" Type="http://schemas.openxmlformats.org/officeDocument/2006/relationships/header" Target="header40.xml"/><Relationship Id="rId53" Type="http://schemas.openxmlformats.org/officeDocument/2006/relationships/header" Target="header27.xml"/><Relationship Id="rId102" Type="http://schemas.openxmlformats.org/officeDocument/2006/relationships/footer" Target="footer51.xml"/><Relationship Id="rId58" Type="http://schemas.openxmlformats.org/officeDocument/2006/relationships/footer" Target="footer29.xml"/><Relationship Id="rId123" Type="http://schemas.openxmlformats.org/officeDocument/2006/relationships/image" Target="media/image8.jpg"/><Relationship Id="rId128" Type="http://schemas.openxmlformats.org/officeDocument/2006/relationships/customXml" Target="../customXml/item2.xml"/><Relationship Id="rId95" Type="http://schemas.openxmlformats.org/officeDocument/2006/relationships/header" Target="header48.xml"/><Relationship Id="rId5" Type="http://schemas.openxmlformats.org/officeDocument/2006/relationships/header" Target="header3.xml"/><Relationship Id="rId90" Type="http://schemas.openxmlformats.org/officeDocument/2006/relationships/footer" Target="footer45.xml"/><Relationship Id="rId22" Type="http://schemas.openxmlformats.org/officeDocument/2006/relationships/footer" Target="footer11.xml"/><Relationship Id="rId27" Type="http://schemas.openxmlformats.org/officeDocument/2006/relationships/header" Target="header14.xml"/><Relationship Id="rId48" Type="http://schemas.openxmlformats.org/officeDocument/2006/relationships/footer" Target="footer24.xml"/><Relationship Id="rId118" Type="http://schemas.openxmlformats.org/officeDocument/2006/relationships/image" Target="media/image14.png"/><Relationship Id="rId69" Type="http://schemas.openxmlformats.org/officeDocument/2006/relationships/header" Target="header35.xml"/><Relationship Id="rId64" Type="http://schemas.openxmlformats.org/officeDocument/2006/relationships/footer" Target="footer32.xml"/><Relationship Id="rId43" Type="http://schemas.openxmlformats.org/officeDocument/2006/relationships/header" Target="header22.xml"/><Relationship Id="rId80" Type="http://schemas.openxmlformats.org/officeDocument/2006/relationships/footer" Target="footer40.xml"/><Relationship Id="rId85" Type="http://schemas.openxmlformats.org/officeDocument/2006/relationships/header" Target="header43.xml"/><Relationship Id="rId38" Type="http://schemas.openxmlformats.org/officeDocument/2006/relationships/footer" Target="footer19.xml"/><Relationship Id="rId33" Type="http://schemas.openxmlformats.org/officeDocument/2006/relationships/header" Target="header17.xml"/><Relationship Id="rId103" Type="http://schemas.openxmlformats.org/officeDocument/2006/relationships/header" Target="header52.xml"/><Relationship Id="rId59" Type="http://schemas.openxmlformats.org/officeDocument/2006/relationships/header" Target="header30.xml"/><Relationship Id="rId17" Type="http://schemas.openxmlformats.org/officeDocument/2006/relationships/header" Target="header9.xml"/><Relationship Id="rId124" Type="http://schemas.openxmlformats.org/officeDocument/2006/relationships/image" Target="media/image9.jpg"/><Relationship Id="rId12" Type="http://schemas.openxmlformats.org/officeDocument/2006/relationships/footer" Target="footer6.xml"/><Relationship Id="rId108" Type="http://schemas.openxmlformats.org/officeDocument/2006/relationships/footer" Target="footer54.xml"/><Relationship Id="rId129" Type="http://schemas.openxmlformats.org/officeDocument/2006/relationships/customXml" Target="../customXml/item3.xml"/><Relationship Id="rId91" Type="http://schemas.openxmlformats.org/officeDocument/2006/relationships/header" Target="header46.xml"/><Relationship Id="rId54" Type="http://schemas.openxmlformats.org/officeDocument/2006/relationships/footer" Target="footer27.xml"/><Relationship Id="rId96" Type="http://schemas.openxmlformats.org/officeDocument/2006/relationships/footer" Target="footer48.xml"/><Relationship Id="rId75" Type="http://schemas.openxmlformats.org/officeDocument/2006/relationships/header" Target="header38.xml"/><Relationship Id="rId70" Type="http://schemas.openxmlformats.org/officeDocument/2006/relationships/footer" Target="footer35.xml"/><Relationship Id="rId1" Type="http://schemas.openxmlformats.org/officeDocument/2006/relationships/header" Target="header1.xml"/><Relationship Id="rId6" Type="http://schemas.openxmlformats.org/officeDocument/2006/relationships/footer" Target="footer3.xml"/><Relationship Id="rId23" Type="http://schemas.openxmlformats.org/officeDocument/2006/relationships/header" Target="header12.xml"/><Relationship Id="rId49" Type="http://schemas.openxmlformats.org/officeDocument/2006/relationships/header" Target="header25.xml"/><Relationship Id="rId119" Type="http://schemas.openxmlformats.org/officeDocument/2006/relationships/image" Target="media/image15.png"/><Relationship Id="rId28" Type="http://schemas.openxmlformats.org/officeDocument/2006/relationships/footer" Target="footer14.xml"/><Relationship Id="rId65" Type="http://schemas.openxmlformats.org/officeDocument/2006/relationships/header" Target="header33.xml"/><Relationship Id="rId44" Type="http://schemas.openxmlformats.org/officeDocument/2006/relationships/footer" Target="footer22.xml"/><Relationship Id="rId81" Type="http://schemas.openxmlformats.org/officeDocument/2006/relationships/header" Target="header41.xml"/><Relationship Id="rId60" Type="http://schemas.openxmlformats.org/officeDocument/2006/relationships/footer" Target="footer30.xml"/><Relationship Id="rId86" Type="http://schemas.openxmlformats.org/officeDocument/2006/relationships/footer" Target="footer43.xml"/><Relationship Id="rId130" Type="http://schemas.openxmlformats.org/officeDocument/2006/relationships/customXml" Target="../customXml/item4.xml"/><Relationship Id="rId18" Type="http://schemas.openxmlformats.org/officeDocument/2006/relationships/footer" Target="footer9.xml"/><Relationship Id="rId13" Type="http://schemas.openxmlformats.org/officeDocument/2006/relationships/header" Target="header7.xml"/><Relationship Id="rId39" Type="http://schemas.openxmlformats.org/officeDocument/2006/relationships/header" Target="header20.xml"/><Relationship Id="rId104" Type="http://schemas.openxmlformats.org/officeDocument/2006/relationships/footer" Target="footer52.xml"/><Relationship Id="rId125" Type="http://schemas.openxmlformats.org/officeDocument/2006/relationships/image" Target="media/image16.png"/><Relationship Id="rId55" Type="http://schemas.openxmlformats.org/officeDocument/2006/relationships/header" Target="header28.xml"/><Relationship Id="rId50" Type="http://schemas.openxmlformats.org/officeDocument/2006/relationships/footer" Target="footer25.xml"/><Relationship Id="rId97" Type="http://schemas.openxmlformats.org/officeDocument/2006/relationships/header" Target="header49.xml"/><Relationship Id="rsFootnotesId" Type="http://schemas.openxmlformats.org/officeDocument/2006/relationships/footnotes" Target="footnotes.xml"/><Relationship Id="rId76" Type="http://schemas.openxmlformats.org/officeDocument/2006/relationships/footer" Target="footer38.xml"/><Relationship Id="rId120" Type="http://schemas.openxmlformats.org/officeDocument/2006/relationships/image" Target="media/image5.jpg"/><Relationship Id="rId34" Type="http://schemas.openxmlformats.org/officeDocument/2006/relationships/footer" Target="footer17.xml"/><Relationship Id="rsSettingsId" Type="http://schemas.openxmlformats.org/officeDocument/2006/relationships/settings" Target="settings.xml"/><Relationship Id="rId7" Type="http://schemas.openxmlformats.org/officeDocument/2006/relationships/header" Target="header4.xml"/><Relationship Id="rId71" Type="http://schemas.openxmlformats.org/officeDocument/2006/relationships/header" Target="header36.xml"/><Relationship Id="rId92" Type="http://schemas.openxmlformats.org/officeDocument/2006/relationships/footer" Target="footer46.xml"/><Relationship Id="rId29" Type="http://schemas.openxmlformats.org/officeDocument/2006/relationships/header" Target="header15.xml"/><Relationship Id="rId2" Type="http://schemas.openxmlformats.org/officeDocument/2006/relationships/footer" Target="footer1.xml"/><Relationship Id="rId40" Type="http://schemas.openxmlformats.org/officeDocument/2006/relationships/footer" Target="footer20.xml"/><Relationship Id="rId66" Type="http://schemas.openxmlformats.org/officeDocument/2006/relationships/footer" Target="footer33.xml"/><Relationship Id="rId45" Type="http://schemas.openxmlformats.org/officeDocument/2006/relationships/header" Target="header23.xml"/><Relationship Id="rId24" Type="http://schemas.openxmlformats.org/officeDocument/2006/relationships/footer" Target="footer12.xml"/><Relationship Id="rId115" Type="http://schemas.openxmlformats.org/officeDocument/2006/relationships/image" Target="media/image12.jpg"/><Relationship Id="rId87" Type="http://schemas.openxmlformats.org/officeDocument/2006/relationships/header" Target="header44.xml"/><Relationship Id="rId131" Type="http://schemas.openxmlformats.org/officeDocument/2006/relationships/customXml" Target="../customXml/item5.xml"/><Relationship Id="rId82" Type="http://schemas.openxmlformats.org/officeDocument/2006/relationships/footer" Target="footer41.xml"/><Relationship Id="rId61" Type="http://schemas.openxmlformats.org/officeDocument/2006/relationships/header" Target="header31.xml"/><Relationship Id="rsStylesId" Type="http://schemas.openxmlformats.org/officeDocument/2006/relationships/styles" Target="styles.xml"/><Relationship Id="rId19" Type="http://schemas.openxmlformats.org/officeDocument/2006/relationships/header" Target="header10.xml"/><Relationship Id="rId56" Type="http://schemas.openxmlformats.org/officeDocument/2006/relationships/footer" Target="footer28.xml"/><Relationship Id="rId100" Type="http://schemas.openxmlformats.org/officeDocument/2006/relationships/footer" Target="footer50.xml"/><Relationship Id="rId14" Type="http://schemas.openxmlformats.org/officeDocument/2006/relationships/footer" Target="footer7.xml"/><Relationship Id="rId77" Type="http://schemas.openxmlformats.org/officeDocument/2006/relationships/header" Target="header39.xml"/><Relationship Id="rId35" Type="http://schemas.openxmlformats.org/officeDocument/2006/relationships/header" Target="header18.xml"/><Relationship Id="rId105" Type="http://schemas.openxmlformats.org/officeDocument/2006/relationships/header" Target="header53.xml"/><Relationship Id="rId30" Type="http://schemas.openxmlformats.org/officeDocument/2006/relationships/footer" Target="footer15.xml"/><Relationship Id="rId126" Type="http://schemas.openxmlformats.org/officeDocument/2006/relationships/image" Target="media/image17.png"/><Relationship Id="rId51" Type="http://schemas.openxmlformats.org/officeDocument/2006/relationships/header" Target="header26.xml"/><Relationship Id="rId8" Type="http://schemas.openxmlformats.org/officeDocument/2006/relationships/footer" Target="footer4.xml"/><Relationship Id="rId121" Type="http://schemas.openxmlformats.org/officeDocument/2006/relationships/image" Target="media/image6.jpg"/><Relationship Id="rId72" Type="http://schemas.openxmlformats.org/officeDocument/2006/relationships/footer" Target="footer36.xml"/><Relationship Id="rId93" Type="http://schemas.openxmlformats.org/officeDocument/2006/relationships/header" Target="header47.xml"/><Relationship Id="rId98" Type="http://schemas.openxmlformats.org/officeDocument/2006/relationships/footer" Target="footer49.xml"/><Relationship Id="rId3" Type="http://schemas.openxmlformats.org/officeDocument/2006/relationships/header" Target="header2.xml"/><Relationship Id="rId116" Type="http://schemas.openxmlformats.org/officeDocument/2006/relationships/image" Target="media/image1.jpg"/><Relationship Id="rId67" Type="http://schemas.openxmlformats.org/officeDocument/2006/relationships/header" Target="header34.xml"/><Relationship Id="rId46" Type="http://schemas.openxmlformats.org/officeDocument/2006/relationships/footer" Target="footer23.xml"/><Relationship Id="rId25" Type="http://schemas.openxmlformats.org/officeDocument/2006/relationships/header" Target="header13.xml"/><Relationship Id="rId62" Type="http://schemas.openxmlformats.org/officeDocument/2006/relationships/footer" Target="footer31.xml"/><Relationship Id="rId41" Type="http://schemas.openxmlformats.org/officeDocument/2006/relationships/header" Target="header21.xml"/><Relationship Id="rId20" Type="http://schemas.openxmlformats.org/officeDocument/2006/relationships/footer" Target="footer10.xml"/><Relationship Id="rId88" Type="http://schemas.openxmlformats.org/officeDocument/2006/relationships/footer" Target="footer44.xml"/><Relationship Id="rId83" Type="http://schemas.openxmlformats.org/officeDocument/2006/relationships/header" Target="header42.xml"/><Relationship Id="hyperlink14772" Type="http://schemas.openxmlformats.org/officeDocument/2006/relationships/hyperlink" Target="http://ec.europa.eu/eurostat/ramon" TargetMode="External"/><Relationship Id="rId15" Type="http://schemas.openxmlformats.org/officeDocument/2006/relationships/header" Target="header8.xml"/><Relationship Id="rId36" Type="http://schemas.openxmlformats.org/officeDocument/2006/relationships/footer" Target="footer18.xml"/><Relationship Id="rId106" Type="http://schemas.openxmlformats.org/officeDocument/2006/relationships/footer" Target="footer53.xml"/><Relationship Id="rId57" Type="http://schemas.openxmlformats.org/officeDocument/2006/relationships/header" Target="header29.xml"/><Relationship Id="rId127" Type="http://schemas.openxmlformats.org/officeDocument/2006/relationships/customXml" Target="../customXml/item1.xml"/><Relationship Id="rId122" Type="http://schemas.openxmlformats.org/officeDocument/2006/relationships/image" Target="media/image7.jpg"/><Relationship Id="rId94" Type="http://schemas.openxmlformats.org/officeDocument/2006/relationships/footer" Target="footer47.xml"/><Relationship Id="rId73" Type="http://schemas.openxmlformats.org/officeDocument/2006/relationships/header" Target="header37.xml"/><Relationship Id="rId99" Type="http://schemas.openxmlformats.org/officeDocument/2006/relationships/header" Target="header50.xml"/><Relationship Id="rId10" Type="http://schemas.openxmlformats.org/officeDocument/2006/relationships/footer" Target="footer5.xml"/><Relationship Id="rsNumberingId" Type="http://schemas.openxmlformats.org/officeDocument/2006/relationships/numbering" Target="numbering.xml"/><Relationship Id="rId31" Type="http://schemas.openxmlformats.org/officeDocument/2006/relationships/header" Target="header16.xml"/><Relationship Id="rId78" Type="http://schemas.openxmlformats.org/officeDocument/2006/relationships/footer" Target="footer39.xml"/><Relationship Id="rId52" Type="http://schemas.openxmlformats.org/officeDocument/2006/relationships/footer" Target="footer26.xml"/><Relationship Id="rId101" Type="http://schemas.openxmlformats.org/officeDocument/2006/relationships/header" Target="header51.xml"/><Relationship Id="rId9" Type="http://schemas.openxmlformats.org/officeDocument/2006/relationships/header" Target="header5.xml"/><Relationship Id="rId4" Type="http://schemas.openxmlformats.org/officeDocument/2006/relationships/footer" Target="footer2.xml"/><Relationship Id="rId26" Type="http://schemas.openxmlformats.org/officeDocument/2006/relationships/footer" Target="footer13.xml"/></Relationships>
</file>

<file path=word/_rels/footnotes.xml.rels><?xml version="1.0" encoding="UTF-8"?><Relationships xmlns="http://schemas.openxmlformats.org/package/2006/relationships"><Relationship TargetMode="External" Target="http://ec.europa.eu/eurostat/ramon" Id="hyperlink14772" Type="http://schemas.openxmlformats.org/officeDocument/2006/relationships/hyperlink" /></Relationship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2016-02-29T00:00:00+00:00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1145</Value>
      <Value>1</Value>
      <Value>763</Value>
    </TaxCatchAll>
    <c4e2ab2cc9354bbf9064eeb465a566ea xmlns="1ed4137b-41b2-488b-8250-6d369ec27664">
      <Terms xmlns="http://schemas.microsoft.com/office/infopath/2007/PartnerControls"/>
    </c4e2ab2cc9354bbf9064eeb465a566ea>
    <UndpProjectNo xmlns="1ed4137b-41b2-488b-8250-6d369ec27664" xsi:nil="true"/>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TZA</TermName>
          <TermId xmlns="http://schemas.microsoft.com/office/infopath/2007/PartnerControls">94f33bbe-f532-4a44-a820-f1af4e435cbd</TermId>
        </TermInfo>
      </Terms>
    </gc6531b704974d528487414686b72f6f>
    <_dlc_DocId xmlns="f1161f5b-24a3-4c2d-bc81-44cb9325e8ee">ATLASPDC-4-45284</_dlc_DocId>
    <_dlc_DocIdUrl xmlns="f1161f5b-24a3-4c2d-bc81-44cb9325e8ee">
      <Url>https://info.undp.org/docs/pdc/_layouts/DocIdRedir.aspx?ID=ATLASPDC-4-45284</Url>
      <Description>ATLASPDC-4-45284</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386FB122-8A0A-4020-9AF2-D4E93EFEAB64}"/>
</file>

<file path=customXml/itemProps2.xml><?xml version="1.0" encoding="utf-8"?>
<ds:datastoreItem xmlns:ds="http://schemas.openxmlformats.org/officeDocument/2006/customXml" ds:itemID="{850727A0-1204-46A5-9225-0719A913400E}"/>
</file>

<file path=customXml/itemProps3.xml><?xml version="1.0" encoding="utf-8"?>
<ds:datastoreItem xmlns:ds="http://schemas.openxmlformats.org/officeDocument/2006/customXml" ds:itemID="{D7C0248B-257B-4CBA-A31A-6E5BAABCA269}"/>
</file>

<file path=customXml/itemProps4.xml><?xml version="1.0" encoding="utf-8"?>
<ds:datastoreItem xmlns:ds="http://schemas.openxmlformats.org/officeDocument/2006/customXml" ds:itemID="{3A481ACC-BD19-4675-9AE1-2381F428DBF0}"/>
</file>

<file path=customXml/itemProps5.xml><?xml version="1.0" encoding="utf-8"?>
<ds:datastoreItem xmlns:ds="http://schemas.openxmlformats.org/officeDocument/2006/customXml" ds:itemID="{2747FA8E-7579-4350-A152-4974ADDC2A11}"/>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terms:created xsi:type="dcterms:W3CDTF">2016-02-29T00:49:38Z</dcterms:created>
  <dcterms:modified xsi:type="dcterms:W3CDTF">2016-02-29T00:49:38Z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Atlas_x0020_Document_x0020_Type">
    <vt:lpwstr/>
  </property>
  <property fmtid="{D5CDD505-2E9C-101B-9397-08002B2CF9AE}" pid="5" name="UndpDocTypeMM">
    <vt:lpwstr/>
  </property>
  <property fmtid="{D5CDD505-2E9C-101B-9397-08002B2CF9AE}" pid="6" name="UNDPDocumentCategory">
    <vt:lpwstr/>
  </property>
  <property fmtid="{D5CDD505-2E9C-101B-9397-08002B2CF9AE}" pid="7" name="UnitTaxHTField0">
    <vt:lpwstr/>
  </property>
  <property fmtid="{D5CDD505-2E9C-101B-9397-08002B2CF9AE}" pid="8" name="UN Languages">
    <vt:lpwstr>1;#English|7f98b732-4b5b-4b70-ba90-a0eff09b5d2d</vt:lpwstr>
  </property>
  <property fmtid="{D5CDD505-2E9C-101B-9397-08002B2CF9AE}" pid="9" name="Operating Unit0">
    <vt:lpwstr>1145;#TZA|94f33bbe-f532-4a44-a820-f1af4e435cbd</vt:lpwstr>
  </property>
  <property fmtid="{D5CDD505-2E9C-101B-9397-08002B2CF9AE}" pid="10" name="Atlas Document Status">
    <vt:lpwstr>763;#Draft|121d40a5-e62e-4d42-82e4-d6d12003de0a</vt:lpwstr>
  </property>
  <property fmtid="{D5CDD505-2E9C-101B-9397-08002B2CF9AE}" pid="12" name="UndpUnitMM">
    <vt:lpwstr/>
  </property>
  <property fmtid="{D5CDD505-2E9C-101B-9397-08002B2CF9AE}" pid="13" name="eRegFilingCodeMM">
    <vt:lpwstr/>
  </property>
  <property fmtid="{D5CDD505-2E9C-101B-9397-08002B2CF9AE}" pid="14" name="Unit">
    <vt:lpwstr/>
  </property>
  <property fmtid="{D5CDD505-2E9C-101B-9397-08002B2CF9AE}" pid="15" name="UNDPFocusAreas">
    <vt:lpwstr/>
  </property>
  <property fmtid="{D5CDD505-2E9C-101B-9397-08002B2CF9AE}" pid="16" name="Atlas Document Type">
    <vt:lpwstr/>
  </property>
  <property fmtid="{D5CDD505-2E9C-101B-9397-08002B2CF9AE}" pid="17" name="_dlc_DocIdItemGuid">
    <vt:lpwstr>8747bf1d-46b2-4600-8195-9d6fca574e0e</vt:lpwstr>
  </property>
  <property fmtid="{D5CDD505-2E9C-101B-9397-08002B2CF9AE}" pid="18" name="URL">
    <vt:lpwstr/>
  </property>
  <property fmtid="{D5CDD505-2E9C-101B-9397-08002B2CF9AE}" pid="19" name="DocumentSetDescription">
    <vt:lpwstr/>
  </property>
</Properties>
</file>